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D29B9" w14:textId="7BE28B8E" w:rsidR="001B22DF" w:rsidRPr="009C6924" w:rsidRDefault="001B22DF" w:rsidP="001B22DF">
      <w:pPr>
        <w:pStyle w:val="CRCoverPage"/>
        <w:tabs>
          <w:tab w:val="left" w:pos="1980"/>
        </w:tabs>
        <w:jc w:val="both"/>
        <w:rPr>
          <w:rFonts w:ascii="Times New Roman" w:eastAsia="SimSun" w:hAnsi="Times New Roman"/>
          <w:b/>
          <w:sz w:val="24"/>
          <w:lang w:val="en-US" w:eastAsia="zh-CN"/>
        </w:rPr>
      </w:pPr>
      <w:r w:rsidRPr="009C6924">
        <w:rPr>
          <w:rFonts w:ascii="Times New Roman" w:eastAsia="SimSun" w:hAnsi="Times New Roman"/>
          <w:b/>
          <w:sz w:val="24"/>
          <w:lang w:val="en-US" w:eastAsia="zh-CN"/>
        </w:rPr>
        <w:t>3GPP TSG RAN WG1 Meeting #9</w:t>
      </w:r>
      <w:r>
        <w:rPr>
          <w:rFonts w:ascii="Times New Roman" w:eastAsia="SimSun" w:hAnsi="Times New Roman"/>
          <w:b/>
          <w:sz w:val="24"/>
          <w:lang w:val="en-US" w:eastAsia="zh-CN"/>
        </w:rPr>
        <w:t>4</w:t>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r>
      <w:r w:rsidRPr="009C6924">
        <w:rPr>
          <w:rFonts w:ascii="Times New Roman" w:eastAsia="SimSun" w:hAnsi="Times New Roman"/>
          <w:b/>
          <w:sz w:val="24"/>
          <w:lang w:val="en-US" w:eastAsia="zh-CN"/>
        </w:rPr>
        <w:tab/>
        <w:t xml:space="preserve">    </w:t>
      </w:r>
      <w:r w:rsidRPr="00623D92">
        <w:rPr>
          <w:rFonts w:ascii="Times New Roman" w:eastAsia="SimSun" w:hAnsi="Times New Roman"/>
          <w:b/>
          <w:sz w:val="24"/>
          <w:lang w:val="en-US" w:eastAsia="zh-CN"/>
        </w:rPr>
        <w:t>R1-</w:t>
      </w:r>
      <w:r w:rsidR="00277862">
        <w:rPr>
          <w:rFonts w:ascii="Times New Roman" w:eastAsia="SimSun" w:hAnsi="Times New Roman"/>
          <w:b/>
          <w:sz w:val="24"/>
          <w:lang w:val="en-US" w:eastAsia="zh-CN"/>
        </w:rPr>
        <w:t>1809086</w:t>
      </w:r>
    </w:p>
    <w:p w14:paraId="4FA659D9" w14:textId="77777777" w:rsidR="001B22DF" w:rsidRPr="009C6924" w:rsidRDefault="001B22DF" w:rsidP="001B22DF">
      <w:pPr>
        <w:pStyle w:val="CRCoverPage"/>
        <w:tabs>
          <w:tab w:val="left" w:pos="1980"/>
        </w:tabs>
        <w:jc w:val="both"/>
        <w:rPr>
          <w:rFonts w:ascii="Times New Roman" w:hAnsi="Times New Roman"/>
          <w:b/>
          <w:bCs/>
          <w:sz w:val="24"/>
          <w:lang w:val="en-US"/>
        </w:rPr>
      </w:pPr>
      <w:r w:rsidRPr="00516651">
        <w:rPr>
          <w:rFonts w:ascii="Times New Roman" w:eastAsia="SimSun" w:hAnsi="Times New Roman"/>
          <w:b/>
          <w:sz w:val="24"/>
          <w:lang w:val="en-US" w:eastAsia="zh-CN"/>
        </w:rPr>
        <w:t>Gothenburg</w:t>
      </w:r>
      <w:r w:rsidRPr="009C6924">
        <w:rPr>
          <w:rFonts w:ascii="Times New Roman" w:eastAsia="SimSun" w:hAnsi="Times New Roman"/>
          <w:b/>
          <w:sz w:val="24"/>
          <w:lang w:val="en-US" w:eastAsia="zh-CN"/>
        </w:rPr>
        <w:t xml:space="preserve">, </w:t>
      </w:r>
      <w:r>
        <w:rPr>
          <w:rFonts w:ascii="Times New Roman" w:eastAsia="SimSun" w:hAnsi="Times New Roman"/>
          <w:b/>
          <w:sz w:val="24"/>
          <w:lang w:val="en-US" w:eastAsia="zh-CN"/>
        </w:rPr>
        <w:t>Sweden</w:t>
      </w:r>
      <w:r w:rsidRPr="009C6924">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Aug </w:t>
      </w:r>
      <w:r w:rsidRPr="009C6924">
        <w:rPr>
          <w:rFonts w:ascii="Times New Roman" w:eastAsia="SimSun" w:hAnsi="Times New Roman"/>
          <w:b/>
          <w:sz w:val="24"/>
          <w:lang w:val="en-US" w:eastAsia="zh-CN"/>
        </w:rPr>
        <w:t>2</w:t>
      </w:r>
      <w:r>
        <w:rPr>
          <w:rFonts w:ascii="Times New Roman" w:eastAsia="SimSun" w:hAnsi="Times New Roman"/>
          <w:b/>
          <w:sz w:val="24"/>
          <w:lang w:val="en-US" w:eastAsia="zh-CN"/>
        </w:rPr>
        <w:t>0</w:t>
      </w:r>
      <w:r>
        <w:rPr>
          <w:rFonts w:ascii="Times New Roman" w:eastAsia="SimSun" w:hAnsi="Times New Roman"/>
          <w:b/>
          <w:sz w:val="24"/>
          <w:vertAlign w:val="superscript"/>
          <w:lang w:val="en-US" w:eastAsia="zh-CN"/>
        </w:rPr>
        <w:t>th</w:t>
      </w:r>
      <w:r w:rsidRPr="009C6924">
        <w:rPr>
          <w:rFonts w:ascii="Times New Roman" w:eastAsia="SimSun" w:hAnsi="Times New Roman"/>
          <w:b/>
          <w:sz w:val="24"/>
          <w:lang w:val="en-US" w:eastAsia="zh-CN"/>
        </w:rPr>
        <w:t xml:space="preserve"> – 2</w:t>
      </w:r>
      <w:r>
        <w:rPr>
          <w:rFonts w:ascii="Times New Roman" w:eastAsia="SimSun" w:hAnsi="Times New Roman"/>
          <w:b/>
          <w:sz w:val="24"/>
          <w:lang w:val="en-US" w:eastAsia="zh-CN"/>
        </w:rPr>
        <w:t>4</w:t>
      </w:r>
      <w:r w:rsidRPr="009C6924">
        <w:rPr>
          <w:rFonts w:ascii="Times New Roman" w:eastAsia="SimSun" w:hAnsi="Times New Roman"/>
          <w:b/>
          <w:sz w:val="24"/>
          <w:vertAlign w:val="superscript"/>
          <w:lang w:val="en-US" w:eastAsia="zh-CN"/>
        </w:rPr>
        <w:t>th</w:t>
      </w:r>
      <w:r w:rsidRPr="009C6924">
        <w:rPr>
          <w:rFonts w:ascii="Times New Roman" w:eastAsia="SimSun" w:hAnsi="Times New Roman"/>
          <w:b/>
          <w:sz w:val="24"/>
          <w:lang w:val="en-US" w:eastAsia="zh-CN"/>
        </w:rPr>
        <w:t>, 2018</w:t>
      </w:r>
    </w:p>
    <w:p w14:paraId="2ED28A93" w14:textId="77777777" w:rsidR="001E0E46" w:rsidRPr="003E7AEB" w:rsidRDefault="001E0E46" w:rsidP="006232BE">
      <w:pPr>
        <w:pStyle w:val="CRCoverPage"/>
        <w:tabs>
          <w:tab w:val="left" w:pos="1980"/>
        </w:tabs>
        <w:jc w:val="both"/>
        <w:rPr>
          <w:rFonts w:ascii="Times New Roman" w:hAnsi="Times New Roman"/>
          <w:b/>
          <w:bCs/>
          <w:sz w:val="24"/>
          <w:lang w:val="en-US"/>
        </w:rPr>
      </w:pPr>
    </w:p>
    <w:p w14:paraId="6FA141D4" w14:textId="3659DAD7" w:rsidR="00FA20F7" w:rsidRPr="003E7AEB" w:rsidRDefault="00FA20F7" w:rsidP="006232BE">
      <w:pPr>
        <w:pStyle w:val="CRCoverPage"/>
        <w:tabs>
          <w:tab w:val="left" w:pos="1980"/>
        </w:tabs>
        <w:jc w:val="both"/>
        <w:rPr>
          <w:rFonts w:ascii="Times New Roman" w:hAnsi="Times New Roman"/>
          <w:b/>
          <w:bCs/>
          <w:sz w:val="24"/>
          <w:lang w:val="en-US" w:eastAsia="ja-JP"/>
        </w:rPr>
      </w:pPr>
      <w:r w:rsidRPr="003E7AEB">
        <w:rPr>
          <w:rFonts w:ascii="Times New Roman" w:hAnsi="Times New Roman"/>
          <w:b/>
          <w:bCs/>
          <w:sz w:val="24"/>
          <w:lang w:val="en-US"/>
        </w:rPr>
        <w:t>Agenda Item:</w:t>
      </w:r>
      <w:r w:rsidRPr="003E7AEB">
        <w:rPr>
          <w:rFonts w:ascii="Times New Roman" w:hAnsi="Times New Roman"/>
          <w:b/>
          <w:bCs/>
          <w:sz w:val="24"/>
          <w:lang w:val="en-US"/>
        </w:rPr>
        <w:tab/>
      </w:r>
      <w:r w:rsidR="001375CD" w:rsidRPr="003E7AEB">
        <w:rPr>
          <w:rFonts w:ascii="Times New Roman" w:hAnsi="Times New Roman"/>
          <w:b/>
          <w:bCs/>
          <w:sz w:val="24"/>
          <w:lang w:val="en-US"/>
        </w:rPr>
        <w:t>7</w:t>
      </w:r>
      <w:r w:rsidR="00E246F8" w:rsidRPr="003E7AEB">
        <w:rPr>
          <w:rFonts w:ascii="Times New Roman" w:hAnsi="Times New Roman"/>
          <w:b/>
          <w:bCs/>
          <w:sz w:val="24"/>
          <w:lang w:val="en-US"/>
        </w:rPr>
        <w:t>.</w:t>
      </w:r>
      <w:r w:rsidR="001B22DF">
        <w:rPr>
          <w:rFonts w:ascii="Times New Roman" w:hAnsi="Times New Roman"/>
          <w:b/>
          <w:bCs/>
          <w:sz w:val="24"/>
          <w:lang w:val="en-US"/>
        </w:rPr>
        <w:t>2.2</w:t>
      </w:r>
      <w:r w:rsidR="00CE63FF" w:rsidRPr="003E7AEB">
        <w:rPr>
          <w:rFonts w:ascii="Times New Roman" w:hAnsi="Times New Roman"/>
          <w:b/>
          <w:bCs/>
          <w:sz w:val="24"/>
          <w:lang w:val="en-US"/>
        </w:rPr>
        <w:t>.</w:t>
      </w:r>
      <w:r w:rsidR="00E171C7" w:rsidRPr="003E7AEB">
        <w:rPr>
          <w:rFonts w:ascii="Times New Roman" w:hAnsi="Times New Roman"/>
          <w:b/>
          <w:bCs/>
          <w:sz w:val="24"/>
          <w:lang w:val="en-US"/>
        </w:rPr>
        <w:t>2</w:t>
      </w:r>
    </w:p>
    <w:p w14:paraId="186753AF" w14:textId="71E2F458" w:rsidR="00FA20F7" w:rsidRPr="003E7AEB" w:rsidRDefault="0092027E" w:rsidP="006232BE">
      <w:pPr>
        <w:tabs>
          <w:tab w:val="left" w:pos="1985"/>
        </w:tabs>
        <w:jc w:val="both"/>
        <w:rPr>
          <w:rFonts w:ascii="Times New Roman" w:hAnsi="Times New Roman" w:cs="Times New Roman"/>
          <w:b/>
          <w:bCs/>
          <w:sz w:val="24"/>
        </w:rPr>
      </w:pPr>
      <w:r w:rsidRPr="003E7AEB">
        <w:rPr>
          <w:rFonts w:ascii="Times New Roman" w:hAnsi="Times New Roman" w:cs="Times New Roman"/>
          <w:b/>
          <w:bCs/>
          <w:sz w:val="24"/>
        </w:rPr>
        <w:t>Source:</w:t>
      </w:r>
      <w:r w:rsidRPr="003E7AEB">
        <w:rPr>
          <w:rFonts w:ascii="Times New Roman" w:hAnsi="Times New Roman" w:cs="Times New Roman"/>
          <w:b/>
          <w:bCs/>
          <w:sz w:val="24"/>
        </w:rPr>
        <w:tab/>
        <w:t>InterDigital</w:t>
      </w:r>
      <w:r w:rsidR="00E17A3B" w:rsidRPr="003E7AEB">
        <w:rPr>
          <w:rFonts w:ascii="Times New Roman" w:hAnsi="Times New Roman" w:cs="Times New Roman"/>
          <w:b/>
          <w:bCs/>
          <w:sz w:val="24"/>
        </w:rPr>
        <w:t xml:space="preserve"> </w:t>
      </w:r>
      <w:r w:rsidR="001E0E46" w:rsidRPr="003E7AEB">
        <w:rPr>
          <w:rFonts w:ascii="Times New Roman" w:hAnsi="Times New Roman" w:cs="Times New Roman"/>
          <w:b/>
          <w:bCs/>
          <w:sz w:val="24"/>
        </w:rPr>
        <w:t>Inc.</w:t>
      </w:r>
    </w:p>
    <w:p w14:paraId="4F02292E" w14:textId="541592A1" w:rsidR="00FA20F7" w:rsidRPr="003E7AEB" w:rsidRDefault="00FA20F7" w:rsidP="006232BE">
      <w:pPr>
        <w:ind w:left="1985" w:hanging="1985"/>
        <w:jc w:val="both"/>
        <w:rPr>
          <w:rFonts w:ascii="Times New Roman" w:hAnsi="Times New Roman" w:cs="Times New Roman"/>
          <w:b/>
          <w:bCs/>
        </w:rPr>
      </w:pPr>
      <w:r w:rsidRPr="003E7AEB">
        <w:rPr>
          <w:rFonts w:ascii="Times New Roman" w:hAnsi="Times New Roman" w:cs="Times New Roman"/>
          <w:b/>
          <w:bCs/>
          <w:sz w:val="24"/>
        </w:rPr>
        <w:t>Title:</w:t>
      </w:r>
      <w:r w:rsidRPr="003E7AEB">
        <w:rPr>
          <w:rFonts w:ascii="Times New Roman" w:hAnsi="Times New Roman" w:cs="Times New Roman"/>
          <w:b/>
          <w:bCs/>
          <w:sz w:val="24"/>
        </w:rPr>
        <w:tab/>
      </w:r>
      <w:r w:rsidR="00710B85" w:rsidRPr="003E7AEB">
        <w:rPr>
          <w:rFonts w:ascii="Times New Roman" w:hAnsi="Times New Roman" w:cs="Times New Roman"/>
          <w:b/>
          <w:bCs/>
          <w:sz w:val="24"/>
        </w:rPr>
        <w:t>On NR-U</w:t>
      </w:r>
      <w:r w:rsidR="00FB60C3">
        <w:rPr>
          <w:rFonts w:ascii="Times New Roman" w:hAnsi="Times New Roman" w:cs="Times New Roman"/>
          <w:b/>
          <w:bCs/>
          <w:sz w:val="24"/>
        </w:rPr>
        <w:t xml:space="preserve"> </w:t>
      </w:r>
      <w:r w:rsidR="00710B85" w:rsidRPr="003E7AEB">
        <w:rPr>
          <w:rFonts w:ascii="Times New Roman" w:hAnsi="Times New Roman" w:cs="Times New Roman"/>
          <w:b/>
          <w:bCs/>
          <w:sz w:val="24"/>
        </w:rPr>
        <w:t>Frame Structure</w:t>
      </w:r>
    </w:p>
    <w:p w14:paraId="20F2A3ED" w14:textId="48C0346C" w:rsidR="00FA20F7" w:rsidRPr="003E7AEB" w:rsidRDefault="00A51E32" w:rsidP="006232BE">
      <w:pPr>
        <w:ind w:left="1985" w:hanging="1985"/>
        <w:jc w:val="both"/>
        <w:rPr>
          <w:rFonts w:ascii="Times New Roman" w:hAnsi="Times New Roman" w:cs="Times New Roman"/>
          <w:b/>
          <w:bCs/>
          <w:sz w:val="24"/>
        </w:rPr>
      </w:pPr>
      <w:r w:rsidRPr="003E7AEB">
        <w:rPr>
          <w:rFonts w:ascii="Times New Roman" w:hAnsi="Times New Roman" w:cs="Times New Roman"/>
          <w:b/>
          <w:bCs/>
          <w:sz w:val="24"/>
        </w:rPr>
        <w:t>Document for:</w:t>
      </w:r>
      <w:r w:rsidRPr="003E7AEB">
        <w:rPr>
          <w:rFonts w:ascii="Times New Roman" w:hAnsi="Times New Roman" w:cs="Times New Roman"/>
          <w:b/>
          <w:bCs/>
          <w:sz w:val="24"/>
        </w:rPr>
        <w:tab/>
        <w:t>Discussion</w:t>
      </w:r>
      <w:r w:rsidR="00CD15BB" w:rsidRPr="003E7AEB">
        <w:rPr>
          <w:rFonts w:ascii="Times New Roman" w:hAnsi="Times New Roman" w:cs="Times New Roman"/>
          <w:b/>
          <w:bCs/>
          <w:sz w:val="24"/>
        </w:rPr>
        <w:t xml:space="preserve"> and Decision</w:t>
      </w:r>
    </w:p>
    <w:p w14:paraId="45A92109" w14:textId="77777777" w:rsidR="00261A3A" w:rsidRPr="003E7AEB" w:rsidRDefault="00A35469" w:rsidP="006232BE">
      <w:pPr>
        <w:pStyle w:val="Heading1"/>
        <w:jc w:val="both"/>
        <w:rPr>
          <w:rFonts w:ascii="Times New Roman" w:hAnsi="Times New Roman"/>
          <w:b/>
          <w:sz w:val="32"/>
          <w:szCs w:val="32"/>
        </w:rPr>
      </w:pPr>
      <w:r w:rsidRPr="003E7AEB">
        <w:rPr>
          <w:rFonts w:ascii="Times New Roman" w:hAnsi="Times New Roman"/>
          <w:b/>
          <w:sz w:val="32"/>
          <w:szCs w:val="32"/>
        </w:rPr>
        <w:t>Introduction</w:t>
      </w:r>
    </w:p>
    <w:p w14:paraId="230A668E" w14:textId="309E9DE8" w:rsidR="00684522" w:rsidRPr="003E7AEB" w:rsidRDefault="00C27B5A" w:rsidP="006232BE">
      <w:pPr>
        <w:jc w:val="both"/>
        <w:rPr>
          <w:rFonts w:ascii="Times New Roman" w:hAnsi="Times New Roman" w:cs="Times New Roman"/>
        </w:rPr>
      </w:pPr>
      <w:r w:rsidRPr="003E7AEB">
        <w:rPr>
          <w:rFonts w:ascii="Times New Roman" w:hAnsi="Times New Roman" w:cs="Times New Roman"/>
        </w:rPr>
        <w:t>In RAN</w:t>
      </w:r>
      <w:r w:rsidR="006232BE" w:rsidRPr="003E7AEB">
        <w:rPr>
          <w:rFonts w:ascii="Times New Roman" w:hAnsi="Times New Roman" w:cs="Times New Roman"/>
        </w:rPr>
        <w:t>1</w:t>
      </w:r>
      <w:r w:rsidRPr="003E7AEB">
        <w:rPr>
          <w:rFonts w:ascii="Times New Roman" w:hAnsi="Times New Roman" w:cs="Times New Roman"/>
        </w:rPr>
        <w:t>#</w:t>
      </w:r>
      <w:r w:rsidR="00684522" w:rsidRPr="003E7AEB">
        <w:rPr>
          <w:rFonts w:ascii="Times New Roman" w:hAnsi="Times New Roman" w:cs="Times New Roman"/>
        </w:rPr>
        <w:t>9</w:t>
      </w:r>
      <w:r w:rsidR="000F25E9">
        <w:rPr>
          <w:rFonts w:ascii="Times New Roman" w:hAnsi="Times New Roman" w:cs="Times New Roman"/>
        </w:rPr>
        <w:t>3</w:t>
      </w:r>
      <w:r w:rsidRPr="003E7AEB">
        <w:rPr>
          <w:rFonts w:ascii="Times New Roman" w:hAnsi="Times New Roman" w:cs="Times New Roman"/>
        </w:rPr>
        <w:t xml:space="preserve"> meeting</w:t>
      </w:r>
      <w:r w:rsidR="005D56F1" w:rsidRPr="003E7AEB">
        <w:rPr>
          <w:rFonts w:ascii="Times New Roman" w:hAnsi="Times New Roman" w:cs="Times New Roman"/>
        </w:rPr>
        <w:t xml:space="preserve"> [1]</w:t>
      </w:r>
      <w:r w:rsidRPr="003E7AEB">
        <w:rPr>
          <w:rFonts w:ascii="Times New Roman" w:hAnsi="Times New Roman" w:cs="Times New Roman"/>
        </w:rPr>
        <w:t xml:space="preserve">, </w:t>
      </w:r>
      <w:r w:rsidR="00684522" w:rsidRPr="003E7AEB">
        <w:rPr>
          <w:rFonts w:ascii="Times New Roman" w:hAnsi="Times New Roman" w:cs="Times New Roman"/>
        </w:rPr>
        <w:t xml:space="preserve">the following agreement </w:t>
      </w:r>
      <w:r w:rsidR="00D47417">
        <w:rPr>
          <w:rFonts w:ascii="Times New Roman" w:hAnsi="Times New Roman" w:cs="Times New Roman"/>
        </w:rPr>
        <w:t xml:space="preserve">was </w:t>
      </w:r>
      <w:r w:rsidR="00684522" w:rsidRPr="003E7AEB">
        <w:rPr>
          <w:rFonts w:ascii="Times New Roman" w:hAnsi="Times New Roman" w:cs="Times New Roman"/>
        </w:rPr>
        <w:t>reached:</w:t>
      </w:r>
    </w:p>
    <w:p w14:paraId="2EF1F626" w14:textId="77777777" w:rsidR="000F25E9" w:rsidRPr="00140DFE" w:rsidRDefault="000F25E9" w:rsidP="000F25E9">
      <w:pPr>
        <w:pStyle w:val="bullet"/>
        <w:numPr>
          <w:ilvl w:val="0"/>
          <w:numId w:val="0"/>
        </w:numPr>
        <w:rPr>
          <w:rFonts w:ascii="Times New Roman" w:hAnsi="Times New Roman"/>
          <w:sz w:val="22"/>
          <w:lang w:val="en-GB"/>
        </w:rPr>
      </w:pPr>
      <w:r w:rsidRPr="00140DFE">
        <w:rPr>
          <w:rFonts w:ascii="Times New Roman" w:hAnsi="Times New Roman"/>
          <w:sz w:val="22"/>
          <w:highlight w:val="green"/>
          <w:lang w:val="en-GB"/>
        </w:rPr>
        <w:t>Agreement:</w:t>
      </w:r>
      <w:r w:rsidRPr="00140DFE">
        <w:rPr>
          <w:rFonts w:ascii="Times New Roman" w:hAnsi="Times New Roman"/>
          <w:sz w:val="22"/>
          <w:lang w:val="en-GB"/>
        </w:rPr>
        <w:t xml:space="preserve"> </w:t>
      </w:r>
    </w:p>
    <w:p w14:paraId="137CEB4C" w14:textId="77777777" w:rsidR="000F25E9" w:rsidRPr="00140DFE" w:rsidRDefault="000F25E9" w:rsidP="000F25E9">
      <w:pPr>
        <w:pStyle w:val="bullet"/>
        <w:numPr>
          <w:ilvl w:val="0"/>
          <w:numId w:val="23"/>
        </w:numPr>
        <w:rPr>
          <w:rFonts w:ascii="Times New Roman" w:hAnsi="Times New Roman"/>
          <w:sz w:val="22"/>
          <w:lang w:val="en-GB"/>
        </w:rPr>
      </w:pPr>
      <w:r w:rsidRPr="00140DFE">
        <w:rPr>
          <w:rFonts w:ascii="Times New Roman" w:hAnsi="Times New Roman"/>
          <w:sz w:val="22"/>
          <w:lang w:val="en-GB"/>
        </w:rPr>
        <w:t xml:space="preserve">Benefits of using a signal that facilitates its detection with low complexity can be investigated including all/part of the following scenarios/use cases: </w:t>
      </w:r>
    </w:p>
    <w:p w14:paraId="3A5B6DC5" w14:textId="77777777" w:rsidR="000F25E9" w:rsidRPr="00140DFE" w:rsidRDefault="000F25E9" w:rsidP="000F25E9">
      <w:pPr>
        <w:pStyle w:val="bullet"/>
        <w:numPr>
          <w:ilvl w:val="1"/>
          <w:numId w:val="23"/>
        </w:numPr>
        <w:rPr>
          <w:rFonts w:ascii="Times New Roman" w:hAnsi="Times New Roman"/>
          <w:sz w:val="22"/>
          <w:lang w:val="en-GB"/>
        </w:rPr>
      </w:pPr>
      <w:r w:rsidRPr="00140DFE">
        <w:rPr>
          <w:rFonts w:ascii="Times New Roman" w:hAnsi="Times New Roman"/>
          <w:sz w:val="22"/>
          <w:lang w:val="en-GB"/>
        </w:rPr>
        <w:t>UE power saving</w:t>
      </w:r>
    </w:p>
    <w:p w14:paraId="608EEA04" w14:textId="77777777" w:rsidR="000F25E9" w:rsidRPr="00140DFE" w:rsidRDefault="000F25E9" w:rsidP="000F25E9">
      <w:pPr>
        <w:pStyle w:val="bullet"/>
        <w:numPr>
          <w:ilvl w:val="1"/>
          <w:numId w:val="23"/>
        </w:numPr>
        <w:rPr>
          <w:rFonts w:ascii="Times New Roman" w:hAnsi="Times New Roman"/>
          <w:sz w:val="22"/>
          <w:lang w:val="en-GB"/>
        </w:rPr>
      </w:pPr>
      <w:r w:rsidRPr="00140DFE">
        <w:rPr>
          <w:rFonts w:ascii="Times New Roman" w:hAnsi="Times New Roman"/>
          <w:sz w:val="22"/>
          <w:lang w:val="en-GB"/>
        </w:rPr>
        <w:t>Improved coexistence</w:t>
      </w:r>
    </w:p>
    <w:p w14:paraId="65B49848" w14:textId="77777777" w:rsidR="000F25E9" w:rsidRPr="00140DFE" w:rsidRDefault="000F25E9" w:rsidP="000F25E9">
      <w:pPr>
        <w:pStyle w:val="bullet"/>
        <w:numPr>
          <w:ilvl w:val="1"/>
          <w:numId w:val="23"/>
        </w:numPr>
        <w:rPr>
          <w:rFonts w:ascii="Times New Roman" w:hAnsi="Times New Roman"/>
          <w:sz w:val="22"/>
          <w:lang w:val="en-GB"/>
        </w:rPr>
      </w:pPr>
      <w:r w:rsidRPr="00140DFE">
        <w:rPr>
          <w:rFonts w:ascii="Times New Roman" w:hAnsi="Times New Roman"/>
          <w:sz w:val="22"/>
          <w:lang w:val="en-GB"/>
        </w:rPr>
        <w:t xml:space="preserve">Spatial reuse at least within the same operator network </w:t>
      </w:r>
    </w:p>
    <w:p w14:paraId="5C42F385" w14:textId="77777777" w:rsidR="000F25E9" w:rsidRPr="00140DFE" w:rsidRDefault="000F25E9" w:rsidP="000F25E9">
      <w:pPr>
        <w:pStyle w:val="bullet"/>
        <w:numPr>
          <w:ilvl w:val="1"/>
          <w:numId w:val="23"/>
        </w:numPr>
        <w:rPr>
          <w:rFonts w:ascii="Times New Roman" w:hAnsi="Times New Roman"/>
          <w:sz w:val="22"/>
          <w:lang w:val="en-GB"/>
        </w:rPr>
      </w:pPr>
      <w:r w:rsidRPr="00140DFE">
        <w:rPr>
          <w:rFonts w:ascii="Times New Roman" w:hAnsi="Times New Roman"/>
          <w:sz w:val="22"/>
          <w:lang w:val="en-GB"/>
        </w:rPr>
        <w:t>Serving cell transmission burst acquisition</w:t>
      </w:r>
    </w:p>
    <w:p w14:paraId="0F852EB4" w14:textId="77777777" w:rsidR="000F25E9" w:rsidRPr="00140DFE" w:rsidRDefault="000F25E9" w:rsidP="000F25E9">
      <w:pPr>
        <w:pStyle w:val="bullet"/>
        <w:numPr>
          <w:ilvl w:val="1"/>
          <w:numId w:val="23"/>
        </w:numPr>
        <w:rPr>
          <w:rFonts w:ascii="Times New Roman" w:hAnsi="Times New Roman"/>
          <w:sz w:val="22"/>
          <w:lang w:val="en-GB" w:eastAsia="x-none"/>
        </w:rPr>
      </w:pPr>
      <w:r w:rsidRPr="00140DFE">
        <w:rPr>
          <w:rFonts w:ascii="Times New Roman" w:hAnsi="Times New Roman"/>
          <w:sz w:val="22"/>
          <w:lang w:val="en-GB"/>
        </w:rPr>
        <w:t>FFS: further usage scenarios</w:t>
      </w:r>
    </w:p>
    <w:p w14:paraId="36694356" w14:textId="3626EE68" w:rsidR="005A08A7" w:rsidRPr="003E7AEB" w:rsidRDefault="007E3BB3" w:rsidP="006232BE">
      <w:pPr>
        <w:jc w:val="both"/>
        <w:rPr>
          <w:rFonts w:ascii="Times New Roman" w:hAnsi="Times New Roman" w:cs="Times New Roman"/>
        </w:rPr>
      </w:pPr>
      <w:r w:rsidRPr="003E7AEB">
        <w:rPr>
          <w:rFonts w:ascii="Times New Roman" w:hAnsi="Times New Roman" w:cs="Times New Roman"/>
        </w:rPr>
        <w:t xml:space="preserve">Considering </w:t>
      </w:r>
      <w:r w:rsidR="00D853A5" w:rsidRPr="003E7AEB">
        <w:rPr>
          <w:rFonts w:ascii="Times New Roman" w:hAnsi="Times New Roman" w:cs="Times New Roman"/>
        </w:rPr>
        <w:t xml:space="preserve">above </w:t>
      </w:r>
      <w:r w:rsidRPr="003E7AEB">
        <w:rPr>
          <w:rFonts w:ascii="Times New Roman" w:hAnsi="Times New Roman" w:cs="Times New Roman"/>
        </w:rPr>
        <w:t>agreement</w:t>
      </w:r>
      <w:r w:rsidR="00291CED" w:rsidRPr="003E7AEB">
        <w:rPr>
          <w:rFonts w:ascii="Times New Roman" w:hAnsi="Times New Roman" w:cs="Times New Roman"/>
        </w:rPr>
        <w:t>, t</w:t>
      </w:r>
      <w:r w:rsidR="00C27B5A" w:rsidRPr="003E7AEB">
        <w:rPr>
          <w:rFonts w:ascii="Times New Roman" w:hAnsi="Times New Roman" w:cs="Times New Roman"/>
        </w:rPr>
        <w:t>his contribution addresses the aspects of NR</w:t>
      </w:r>
      <w:r w:rsidR="003C0A16">
        <w:rPr>
          <w:rFonts w:ascii="Times New Roman" w:hAnsi="Times New Roman" w:cs="Times New Roman"/>
        </w:rPr>
        <w:t>-U</w:t>
      </w:r>
      <w:r w:rsidR="00C27B5A" w:rsidRPr="003E7AEB">
        <w:rPr>
          <w:rFonts w:ascii="Times New Roman" w:hAnsi="Times New Roman" w:cs="Times New Roman"/>
        </w:rPr>
        <w:t xml:space="preserve"> frame structure</w:t>
      </w:r>
      <w:r w:rsidR="00291CED" w:rsidRPr="003E7AEB">
        <w:rPr>
          <w:rFonts w:ascii="Times New Roman" w:hAnsi="Times New Roman" w:cs="Times New Roman"/>
        </w:rPr>
        <w:t xml:space="preserve">. We particularly </w:t>
      </w:r>
      <w:r w:rsidR="00C27B5A" w:rsidRPr="003E7AEB">
        <w:rPr>
          <w:rFonts w:ascii="Times New Roman" w:hAnsi="Times New Roman" w:cs="Times New Roman"/>
        </w:rPr>
        <w:t xml:space="preserve">highlight </w:t>
      </w:r>
      <w:r w:rsidR="00B935A7" w:rsidRPr="003E7AEB">
        <w:rPr>
          <w:rFonts w:ascii="Times New Roman" w:hAnsi="Times New Roman" w:cs="Times New Roman"/>
        </w:rPr>
        <w:t xml:space="preserve">some </w:t>
      </w:r>
      <w:r w:rsidR="00C27B5A" w:rsidRPr="003E7AEB">
        <w:rPr>
          <w:rFonts w:ascii="Times New Roman" w:hAnsi="Times New Roman" w:cs="Times New Roman"/>
        </w:rPr>
        <w:t xml:space="preserve">potential </w:t>
      </w:r>
      <w:r w:rsidR="00B935A7" w:rsidRPr="003E7AEB">
        <w:rPr>
          <w:rFonts w:ascii="Times New Roman" w:hAnsi="Times New Roman" w:cs="Times New Roman"/>
        </w:rPr>
        <w:t>solutions</w:t>
      </w:r>
      <w:r w:rsidR="00E32328" w:rsidRPr="003E7AEB">
        <w:rPr>
          <w:rFonts w:ascii="Times New Roman" w:hAnsi="Times New Roman" w:cs="Times New Roman"/>
        </w:rPr>
        <w:t xml:space="preserve"> on the topics of frame structure</w:t>
      </w:r>
      <w:r w:rsidR="000F25E9">
        <w:rPr>
          <w:rFonts w:ascii="Times New Roman" w:hAnsi="Times New Roman" w:cs="Times New Roman"/>
        </w:rPr>
        <w:t xml:space="preserve">, </w:t>
      </w:r>
      <w:r w:rsidR="00E32328" w:rsidRPr="003E7AEB">
        <w:rPr>
          <w:rFonts w:ascii="Times New Roman" w:hAnsi="Times New Roman" w:cs="Times New Roman"/>
        </w:rPr>
        <w:t>COT-sharing between a gNB and UEs</w:t>
      </w:r>
      <w:r w:rsidR="000F25E9">
        <w:rPr>
          <w:rFonts w:ascii="Times New Roman" w:hAnsi="Times New Roman" w:cs="Times New Roman"/>
        </w:rPr>
        <w:t xml:space="preserve">, and enhanced </w:t>
      </w:r>
      <w:r w:rsidR="003C0A16">
        <w:rPr>
          <w:rFonts w:ascii="Times New Roman" w:hAnsi="Times New Roman" w:cs="Times New Roman"/>
        </w:rPr>
        <w:t xml:space="preserve">UE </w:t>
      </w:r>
      <w:r w:rsidR="000F25E9">
        <w:rPr>
          <w:rFonts w:ascii="Times New Roman" w:hAnsi="Times New Roman" w:cs="Times New Roman"/>
        </w:rPr>
        <w:t>channel access for uplink control channels</w:t>
      </w:r>
      <w:r w:rsidR="00C27B5A" w:rsidRPr="003E7AEB">
        <w:rPr>
          <w:rFonts w:ascii="Times New Roman" w:hAnsi="Times New Roman" w:cs="Times New Roman"/>
        </w:rPr>
        <w:t>.</w:t>
      </w:r>
    </w:p>
    <w:p w14:paraId="570E10A7" w14:textId="445E0573" w:rsidR="00180B6F" w:rsidRPr="003E7AEB" w:rsidRDefault="004478DA" w:rsidP="006232BE">
      <w:pPr>
        <w:pStyle w:val="Heading1"/>
        <w:jc w:val="both"/>
        <w:rPr>
          <w:rFonts w:ascii="Times New Roman" w:hAnsi="Times New Roman"/>
          <w:b/>
          <w:sz w:val="32"/>
          <w:szCs w:val="32"/>
          <w:lang w:val="en-US"/>
        </w:rPr>
      </w:pPr>
      <w:r w:rsidRPr="003E7AEB">
        <w:rPr>
          <w:rFonts w:ascii="Times New Roman" w:hAnsi="Times New Roman"/>
          <w:b/>
          <w:sz w:val="32"/>
          <w:szCs w:val="32"/>
        </w:rPr>
        <w:t>NR</w:t>
      </w:r>
      <w:r w:rsidR="00D47417">
        <w:rPr>
          <w:rFonts w:ascii="Times New Roman" w:hAnsi="Times New Roman"/>
          <w:b/>
          <w:sz w:val="32"/>
          <w:szCs w:val="32"/>
        </w:rPr>
        <w:t>-U</w:t>
      </w:r>
      <w:r w:rsidRPr="003E7AEB">
        <w:rPr>
          <w:rFonts w:ascii="Times New Roman" w:hAnsi="Times New Roman"/>
          <w:b/>
          <w:sz w:val="32"/>
          <w:szCs w:val="32"/>
        </w:rPr>
        <w:t xml:space="preserve"> frame </w:t>
      </w:r>
      <w:r w:rsidR="00A777E9" w:rsidRPr="003E7AEB">
        <w:rPr>
          <w:rFonts w:ascii="Times New Roman" w:hAnsi="Times New Roman"/>
          <w:b/>
          <w:sz w:val="32"/>
          <w:szCs w:val="32"/>
        </w:rPr>
        <w:t>structure</w:t>
      </w:r>
      <w:r w:rsidRPr="003E7AEB">
        <w:rPr>
          <w:rFonts w:ascii="Times New Roman" w:hAnsi="Times New Roman"/>
          <w:b/>
          <w:sz w:val="32"/>
          <w:szCs w:val="32"/>
        </w:rPr>
        <w:t xml:space="preserve"> </w:t>
      </w:r>
    </w:p>
    <w:p w14:paraId="52B655C2" w14:textId="4C19989A" w:rsidR="001D43D0" w:rsidRPr="003E7AEB" w:rsidRDefault="001D43D0" w:rsidP="006232BE">
      <w:pPr>
        <w:keepNext/>
        <w:suppressAutoHyphens/>
        <w:spacing w:before="240" w:after="60"/>
        <w:jc w:val="both"/>
        <w:outlineLvl w:val="0"/>
        <w:rPr>
          <w:rFonts w:ascii="Times New Roman" w:hAnsi="Times New Roman" w:cs="Times New Roman"/>
        </w:rPr>
      </w:pPr>
      <w:r w:rsidRPr="003E7AEB">
        <w:rPr>
          <w:rFonts w:ascii="Times New Roman" w:hAnsi="Times New Roman" w:cs="Times New Roman"/>
        </w:rPr>
        <w:t xml:space="preserve">Under some regulatory domains, it is required by the regulators that when a wireless device wants to access an unlicensed channel the device shall first perform a listen-before-talk (LBT) procedure. For operation of an NR device in unlicensed channels a similar procedure is expected. The LTE-based LAA releases have adopted a set of LBT categories and it is expected that those LBT categories are conceptually reused by NR-unlicensed (NR-U), at least for operation in 5GHz unlicensed spectrum. </w:t>
      </w:r>
    </w:p>
    <w:p w14:paraId="7C55B20F" w14:textId="0FF32EB3" w:rsidR="00B23DBD" w:rsidRPr="003E7AEB" w:rsidRDefault="0084356E" w:rsidP="001F4A5B">
      <w:pPr>
        <w:spacing w:before="240"/>
        <w:jc w:val="both"/>
        <w:rPr>
          <w:rFonts w:ascii="Times New Roman" w:hAnsi="Times New Roman" w:cs="Times New Roman"/>
        </w:rPr>
      </w:pPr>
      <w:r w:rsidRPr="003E7AEB">
        <w:rPr>
          <w:rFonts w:ascii="Times New Roman" w:hAnsi="Times New Roman" w:cs="Times New Roman"/>
        </w:rPr>
        <w:t>I</w:t>
      </w:r>
      <w:r w:rsidR="00B23DBD" w:rsidRPr="003E7AEB">
        <w:rPr>
          <w:rFonts w:ascii="Times New Roman" w:hAnsi="Times New Roman" w:cs="Times New Roman"/>
        </w:rPr>
        <w:t>n order to operate on the unlicensed spectrum, a transmitter is usually required to follow an LBT procedure for interference avoidance and coexistence with other incumbent systems. The NR frame structure inherently has a very flexible design. This allows NR-U to be able to transmit and receive in a highly efficient manner compared to LAA/eLLA</w:t>
      </w:r>
      <w:r w:rsidRPr="003E7AEB">
        <w:rPr>
          <w:rFonts w:ascii="Times New Roman" w:hAnsi="Times New Roman" w:cs="Times New Roman"/>
        </w:rPr>
        <w:t>/FeLAA</w:t>
      </w:r>
      <w:r w:rsidR="00B23DBD" w:rsidRPr="003E7AEB">
        <w:rPr>
          <w:rFonts w:ascii="Times New Roman" w:hAnsi="Times New Roman" w:cs="Times New Roman"/>
        </w:rPr>
        <w:t xml:space="preserve"> even in the presence of LBT. One of the main considerations regarding the LBT mechanism should be to maintain the same transmission timeline as in NR in licensed bands even in the case of standalone NR-U. This implies that despite the random nature of </w:t>
      </w:r>
      <w:r w:rsidR="00931BA1" w:rsidRPr="003E7AEB">
        <w:rPr>
          <w:rFonts w:ascii="Times New Roman" w:hAnsi="Times New Roman" w:cs="Times New Roman"/>
        </w:rPr>
        <w:t>channel access due to</w:t>
      </w:r>
      <w:r w:rsidR="00B23DBD" w:rsidRPr="003E7AEB">
        <w:rPr>
          <w:rFonts w:ascii="Times New Roman" w:hAnsi="Times New Roman" w:cs="Times New Roman"/>
        </w:rPr>
        <w:t xml:space="preserve"> LBT, the NR-U transmissions following the LBT procedure should be fully synchronized with the NR transmis</w:t>
      </w:r>
      <w:r w:rsidRPr="003E7AEB">
        <w:rPr>
          <w:rFonts w:ascii="Times New Roman" w:hAnsi="Times New Roman" w:cs="Times New Roman"/>
        </w:rPr>
        <w:t xml:space="preserve">sions on the </w:t>
      </w:r>
      <w:r w:rsidR="00B1781D" w:rsidRPr="003E7AEB">
        <w:rPr>
          <w:rFonts w:ascii="Times New Roman" w:hAnsi="Times New Roman" w:cs="Times New Roman"/>
        </w:rPr>
        <w:t>license</w:t>
      </w:r>
      <w:r w:rsidRPr="003E7AEB">
        <w:rPr>
          <w:rFonts w:ascii="Times New Roman" w:hAnsi="Times New Roman" w:cs="Times New Roman"/>
        </w:rPr>
        <w:t xml:space="preserve"> carriers.</w:t>
      </w:r>
    </w:p>
    <w:p w14:paraId="7E9CD15F" w14:textId="252D1C55" w:rsidR="00B23DBD" w:rsidRPr="003E7AEB" w:rsidRDefault="00B23DBD" w:rsidP="006232BE">
      <w:pPr>
        <w:jc w:val="both"/>
        <w:rPr>
          <w:rFonts w:ascii="Times New Roman" w:hAnsi="Times New Roman" w:cs="Times New Roman"/>
        </w:rPr>
      </w:pPr>
      <w:r w:rsidRPr="003E7AEB">
        <w:rPr>
          <w:rFonts w:ascii="Times New Roman" w:hAnsi="Times New Roman" w:cs="Times New Roman"/>
        </w:rPr>
        <w:t xml:space="preserve">In LAA, the start of the transmission following a successful LBT is limited to the beginning of the next slot (i.e., Symbol 0 or 7 within a subframe). This approach often results in inefficient resource utilization in scenarios that the LBT procedure is successfully completed at the middle of the slot. In NR-U, to maximize the resource usage efficiency, the transmission should be allowed at any time following a successful LBT procedure. For example, the UE can be scheduled with a mini-slot granularity during the random transmission stage and later on to be scheduled at the slot-level granularity during the deterministic transmission stage. The uncertainty associated with the random transmission stage is mainly due to the fact that there are multiple LBT categories each with a different listen </w:t>
      </w:r>
      <w:r w:rsidR="00841916" w:rsidRPr="003E7AEB">
        <w:rPr>
          <w:rFonts w:ascii="Times New Roman" w:hAnsi="Times New Roman" w:cs="Times New Roman"/>
        </w:rPr>
        <w:t>intervals</w:t>
      </w:r>
      <w:r w:rsidRPr="003E7AEB">
        <w:rPr>
          <w:rFonts w:ascii="Times New Roman" w:hAnsi="Times New Roman" w:cs="Times New Roman"/>
        </w:rPr>
        <w:t xml:space="preserve">. Besides, the LBT mechanism is mainly opportunity-driven </w:t>
      </w:r>
      <w:r w:rsidRPr="003E7AEB">
        <w:rPr>
          <w:rFonts w:ascii="Times New Roman" w:hAnsi="Times New Roman" w:cs="Times New Roman"/>
        </w:rPr>
        <w:lastRenderedPageBreak/>
        <w:t xml:space="preserve">with no guarantee of availability of resources so the scheduling cannot be done in a deterministic manner. As for the scheduling during the random transmission stage, perhaps the shortest mini-slot duration (i.e., 2 OFDM symbols) would be the most efficient option among the three mini-slot durations currently defined in NR (i.e., 2, 4 &amp; 7 symbols). An example of NR-U frame structure with LBT procedure is shown in </w:t>
      </w:r>
      <w:r w:rsidRPr="003E7AEB">
        <w:rPr>
          <w:rFonts w:ascii="Times New Roman" w:hAnsi="Times New Roman" w:cs="Times New Roman"/>
        </w:rPr>
        <w:fldChar w:fldCharType="begin"/>
      </w:r>
      <w:r w:rsidRPr="003E7AEB">
        <w:rPr>
          <w:rFonts w:ascii="Times New Roman" w:hAnsi="Times New Roman" w:cs="Times New Roman"/>
        </w:rPr>
        <w:instrText xml:space="preserve"> REF _Ref510601243 \h </w:instrText>
      </w:r>
      <w:r w:rsidR="006232BE" w:rsidRPr="003E7AEB">
        <w:rPr>
          <w:rFonts w:ascii="Times New Roman" w:hAnsi="Times New Roman" w:cs="Times New Roman"/>
        </w:rPr>
        <w:instrText xml:space="preserve"> \* MERGEFORMAT </w:instrText>
      </w:r>
      <w:r w:rsidRPr="003E7AEB">
        <w:rPr>
          <w:rFonts w:ascii="Times New Roman" w:hAnsi="Times New Roman" w:cs="Times New Roman"/>
        </w:rPr>
      </w:r>
      <w:r w:rsidRPr="003E7AEB">
        <w:rPr>
          <w:rFonts w:ascii="Times New Roman" w:hAnsi="Times New Roman" w:cs="Times New Roman"/>
        </w:rPr>
        <w:fldChar w:fldCharType="separate"/>
      </w:r>
      <w:r w:rsidRPr="003E7AEB">
        <w:rPr>
          <w:rFonts w:ascii="Times New Roman" w:hAnsi="Times New Roman" w:cs="Times New Roman"/>
        </w:rPr>
        <w:t xml:space="preserve">Figure </w:t>
      </w:r>
      <w:r w:rsidRPr="003E7AEB">
        <w:rPr>
          <w:rFonts w:ascii="Times New Roman" w:hAnsi="Times New Roman" w:cs="Times New Roman"/>
          <w:noProof/>
        </w:rPr>
        <w:t>1</w:t>
      </w:r>
      <w:r w:rsidRPr="003E7AEB">
        <w:rPr>
          <w:rFonts w:ascii="Times New Roman" w:hAnsi="Times New Roman" w:cs="Times New Roman"/>
        </w:rPr>
        <w:fldChar w:fldCharType="end"/>
      </w:r>
      <w:r w:rsidRPr="003E7AEB">
        <w:rPr>
          <w:rFonts w:ascii="Times New Roman" w:hAnsi="Times New Roman" w:cs="Times New Roman"/>
        </w:rPr>
        <w:t>.</w:t>
      </w:r>
    </w:p>
    <w:p w14:paraId="61192751" w14:textId="2243A662" w:rsidR="00B23DBD" w:rsidRPr="003E7AEB" w:rsidRDefault="000E38DD" w:rsidP="006232BE">
      <w:pPr>
        <w:keepNext/>
        <w:jc w:val="both"/>
        <w:rPr>
          <w:rFonts w:ascii="Times New Roman" w:hAnsi="Times New Roman" w:cs="Times New Roman"/>
        </w:rPr>
      </w:pPr>
      <w:r w:rsidRPr="003E7AEB">
        <w:rPr>
          <w:rFonts w:ascii="Times New Roman" w:hAnsi="Times New Roman" w:cs="Times New Roman"/>
        </w:rPr>
        <w:object w:dxaOrig="5420" w:dyaOrig="1671" w14:anchorId="3E7A7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60.15pt" o:ole="">
            <v:imagedata r:id="rId11" o:title="" cropbottom="-39071f" cropright="-36731f"/>
          </v:shape>
          <o:OLEObject Type="Embed" ProgID="Visio.Drawing.15" ShapeID="_x0000_i1025" DrawAspect="Content" ObjectID="_1595431064" r:id="rId12"/>
        </w:object>
      </w:r>
    </w:p>
    <w:p w14:paraId="1D06275E" w14:textId="5CCB84DA" w:rsidR="00B23DBD" w:rsidRPr="003E7AEB" w:rsidRDefault="00B23DBD" w:rsidP="0084356E">
      <w:pPr>
        <w:pStyle w:val="Caption"/>
        <w:rPr>
          <w:rFonts w:ascii="Times New Roman" w:hAnsi="Times New Roman" w:cs="Times New Roman"/>
        </w:rPr>
      </w:pPr>
      <w:bookmarkStart w:id="0" w:name="_Ref510601243"/>
      <w:r w:rsidRPr="003E7AEB">
        <w:rPr>
          <w:rFonts w:ascii="Times New Roman" w:hAnsi="Times New Roman" w:cs="Times New Roman"/>
        </w:rPr>
        <w:t xml:space="preserve">Figure </w:t>
      </w:r>
      <w:r w:rsidR="000868EC" w:rsidRPr="003E7AEB">
        <w:rPr>
          <w:rFonts w:ascii="Times New Roman" w:hAnsi="Times New Roman" w:cs="Times New Roman"/>
        </w:rPr>
        <w:fldChar w:fldCharType="begin"/>
      </w:r>
      <w:r w:rsidR="000868EC" w:rsidRPr="003E7AEB">
        <w:rPr>
          <w:rFonts w:ascii="Times New Roman" w:hAnsi="Times New Roman" w:cs="Times New Roman"/>
        </w:rPr>
        <w:instrText xml:space="preserve"> SEQ Figure \* ARABIC </w:instrText>
      </w:r>
      <w:r w:rsidR="000868EC" w:rsidRPr="003E7AEB">
        <w:rPr>
          <w:rFonts w:ascii="Times New Roman" w:hAnsi="Times New Roman" w:cs="Times New Roman"/>
        </w:rPr>
        <w:fldChar w:fldCharType="separate"/>
      </w:r>
      <w:r w:rsidRPr="003E7AEB">
        <w:rPr>
          <w:rFonts w:ascii="Times New Roman" w:hAnsi="Times New Roman" w:cs="Times New Roman"/>
          <w:noProof/>
        </w:rPr>
        <w:t>1</w:t>
      </w:r>
      <w:r w:rsidR="000868EC" w:rsidRPr="003E7AEB">
        <w:rPr>
          <w:rFonts w:ascii="Times New Roman" w:hAnsi="Times New Roman" w:cs="Times New Roman"/>
          <w:noProof/>
        </w:rPr>
        <w:fldChar w:fldCharType="end"/>
      </w:r>
      <w:bookmarkEnd w:id="0"/>
      <w:r w:rsidRPr="003E7AEB">
        <w:rPr>
          <w:rFonts w:ascii="Times New Roman" w:hAnsi="Times New Roman" w:cs="Times New Roman"/>
        </w:rPr>
        <w:t>: An example of NR-U frame structure with LBT procedure</w:t>
      </w:r>
    </w:p>
    <w:p w14:paraId="10210BEE" w14:textId="4EA4B23C" w:rsidR="00B23DBD" w:rsidRPr="003E7AEB" w:rsidRDefault="00B23DBD" w:rsidP="006232BE">
      <w:pPr>
        <w:jc w:val="both"/>
        <w:rPr>
          <w:rFonts w:ascii="Times New Roman" w:hAnsi="Times New Roman" w:cs="Times New Roman"/>
        </w:rPr>
      </w:pPr>
      <w:r w:rsidRPr="003E7AEB">
        <w:rPr>
          <w:rFonts w:ascii="Times New Roman" w:hAnsi="Times New Roman" w:cs="Times New Roman"/>
        </w:rPr>
        <w:t xml:space="preserve">Another design consideration related to the frame structure would be related to PDCCH monitoring periodicity. One implication of enabling the mini-slot based scheduling during the random transmission stage is that the UE will be required to perform PDCCH monitoring at the </w:t>
      </w:r>
      <w:r w:rsidR="00A777E9" w:rsidRPr="003E7AEB">
        <w:rPr>
          <w:rFonts w:ascii="Times New Roman" w:hAnsi="Times New Roman" w:cs="Times New Roman"/>
        </w:rPr>
        <w:t>beginning</w:t>
      </w:r>
      <w:r w:rsidRPr="003E7AEB">
        <w:rPr>
          <w:rFonts w:ascii="Times New Roman" w:hAnsi="Times New Roman" w:cs="Times New Roman"/>
        </w:rPr>
        <w:t xml:space="preserve"> of each mini-slot. This will obviously increase the power consumption at the UE</w:t>
      </w:r>
      <w:r w:rsidR="00841916" w:rsidRPr="003E7AEB">
        <w:rPr>
          <w:rFonts w:ascii="Times New Roman" w:hAnsi="Times New Roman" w:cs="Times New Roman"/>
        </w:rPr>
        <w:t>, particularly during the time that the gNB is not transmitting due to LBT</w:t>
      </w:r>
      <w:r w:rsidRPr="003E7AEB">
        <w:rPr>
          <w:rFonts w:ascii="Times New Roman" w:hAnsi="Times New Roman" w:cs="Times New Roman"/>
        </w:rPr>
        <w:t xml:space="preserve">. Currently, the NR </w:t>
      </w:r>
      <w:r w:rsidR="00CA7A97" w:rsidRPr="003E7AEB">
        <w:rPr>
          <w:rFonts w:ascii="Times New Roman" w:hAnsi="Times New Roman" w:cs="Times New Roman"/>
        </w:rPr>
        <w:t xml:space="preserve">working group </w:t>
      </w:r>
      <w:r w:rsidRPr="003E7AEB">
        <w:rPr>
          <w:rFonts w:ascii="Times New Roman" w:hAnsi="Times New Roman" w:cs="Times New Roman"/>
        </w:rPr>
        <w:t xml:space="preserve">is considering to study the mechanisms and procedures to minimize the UE power consumption. One of the objectives of this </w:t>
      </w:r>
      <w:r w:rsidR="00CA7A97" w:rsidRPr="003E7AEB">
        <w:rPr>
          <w:rFonts w:ascii="Times New Roman" w:hAnsi="Times New Roman" w:cs="Times New Roman"/>
        </w:rPr>
        <w:t xml:space="preserve">potential </w:t>
      </w:r>
      <w:r w:rsidRPr="003E7AEB">
        <w:rPr>
          <w:rFonts w:ascii="Times New Roman" w:hAnsi="Times New Roman" w:cs="Times New Roman"/>
        </w:rPr>
        <w:t>SI is to consider a new network-assisted UE wake-up mechanism with the possibility of introducing wakeup signals. The same approach can be extended and used in NR-U. More specifically, the gNB</w:t>
      </w:r>
      <w:r w:rsidR="00841916" w:rsidRPr="003E7AEB">
        <w:rPr>
          <w:rFonts w:ascii="Times New Roman" w:hAnsi="Times New Roman" w:cs="Times New Roman"/>
        </w:rPr>
        <w:t>, following a successful LBT procedure,</w:t>
      </w:r>
      <w:r w:rsidRPr="003E7AEB">
        <w:rPr>
          <w:rFonts w:ascii="Times New Roman" w:hAnsi="Times New Roman" w:cs="Times New Roman"/>
        </w:rPr>
        <w:t xml:space="preserve"> may transmit a wake-up signal to the UE</w:t>
      </w:r>
      <w:r w:rsidR="001D43D0" w:rsidRPr="003E7AEB">
        <w:rPr>
          <w:rFonts w:ascii="Times New Roman" w:hAnsi="Times New Roman" w:cs="Times New Roman"/>
        </w:rPr>
        <w:t>(s)</w:t>
      </w:r>
      <w:r w:rsidRPr="003E7AEB">
        <w:rPr>
          <w:rFonts w:ascii="Times New Roman" w:hAnsi="Times New Roman" w:cs="Times New Roman"/>
        </w:rPr>
        <w:t xml:space="preserve"> to trigger the UE</w:t>
      </w:r>
      <w:r w:rsidR="001D43D0" w:rsidRPr="003E7AEB">
        <w:rPr>
          <w:rFonts w:ascii="Times New Roman" w:hAnsi="Times New Roman" w:cs="Times New Roman"/>
        </w:rPr>
        <w:t>(s)</w:t>
      </w:r>
      <w:r w:rsidRPr="003E7AEB">
        <w:rPr>
          <w:rFonts w:ascii="Times New Roman" w:hAnsi="Times New Roman" w:cs="Times New Roman"/>
        </w:rPr>
        <w:t xml:space="preserve"> to </w:t>
      </w:r>
      <w:r w:rsidR="001D43D0" w:rsidRPr="003E7AEB">
        <w:rPr>
          <w:rFonts w:ascii="Times New Roman" w:hAnsi="Times New Roman" w:cs="Times New Roman"/>
        </w:rPr>
        <w:t xml:space="preserve">resume </w:t>
      </w:r>
      <w:r w:rsidRPr="003E7AEB">
        <w:rPr>
          <w:rFonts w:ascii="Times New Roman" w:hAnsi="Times New Roman" w:cs="Times New Roman"/>
        </w:rPr>
        <w:t xml:space="preserve">monitoring the PDCCH. An example of NR-U frame structure with the UE wake-up signal is shown in </w:t>
      </w:r>
      <w:r w:rsidRPr="003E7AEB">
        <w:rPr>
          <w:rFonts w:ascii="Times New Roman" w:hAnsi="Times New Roman" w:cs="Times New Roman"/>
        </w:rPr>
        <w:fldChar w:fldCharType="begin"/>
      </w:r>
      <w:r w:rsidRPr="003E7AEB">
        <w:rPr>
          <w:rFonts w:ascii="Times New Roman" w:hAnsi="Times New Roman" w:cs="Times New Roman"/>
        </w:rPr>
        <w:instrText xml:space="preserve"> REF _Ref510604102 \h </w:instrText>
      </w:r>
      <w:r w:rsidR="006232BE" w:rsidRPr="003E7AEB">
        <w:rPr>
          <w:rFonts w:ascii="Times New Roman" w:hAnsi="Times New Roman" w:cs="Times New Roman"/>
        </w:rPr>
        <w:instrText xml:space="preserve"> \* MERGEFORMAT </w:instrText>
      </w:r>
      <w:r w:rsidRPr="003E7AEB">
        <w:rPr>
          <w:rFonts w:ascii="Times New Roman" w:hAnsi="Times New Roman" w:cs="Times New Roman"/>
        </w:rPr>
      </w:r>
      <w:r w:rsidRPr="003E7AEB">
        <w:rPr>
          <w:rFonts w:ascii="Times New Roman" w:hAnsi="Times New Roman" w:cs="Times New Roman"/>
        </w:rPr>
        <w:fldChar w:fldCharType="separate"/>
      </w:r>
      <w:r w:rsidRPr="003E7AEB">
        <w:rPr>
          <w:rFonts w:ascii="Times New Roman" w:hAnsi="Times New Roman" w:cs="Times New Roman"/>
        </w:rPr>
        <w:t xml:space="preserve">Figure </w:t>
      </w:r>
      <w:r w:rsidRPr="003E7AEB">
        <w:rPr>
          <w:rFonts w:ascii="Times New Roman" w:hAnsi="Times New Roman" w:cs="Times New Roman"/>
          <w:noProof/>
        </w:rPr>
        <w:t>2</w:t>
      </w:r>
      <w:r w:rsidRPr="003E7AEB">
        <w:rPr>
          <w:rFonts w:ascii="Times New Roman" w:hAnsi="Times New Roman" w:cs="Times New Roman"/>
        </w:rPr>
        <w:fldChar w:fldCharType="end"/>
      </w:r>
      <w:r w:rsidRPr="003E7AEB">
        <w:rPr>
          <w:rFonts w:ascii="Times New Roman" w:hAnsi="Times New Roman" w:cs="Times New Roman"/>
        </w:rPr>
        <w:t xml:space="preserve">. </w:t>
      </w:r>
    </w:p>
    <w:p w14:paraId="6F39627E" w14:textId="57EDC0B2" w:rsidR="00B23DBD" w:rsidRPr="003E7AEB" w:rsidRDefault="000E38DD" w:rsidP="006232BE">
      <w:pPr>
        <w:keepNext/>
        <w:jc w:val="both"/>
        <w:rPr>
          <w:rFonts w:ascii="Times New Roman" w:hAnsi="Times New Roman" w:cs="Times New Roman"/>
        </w:rPr>
      </w:pPr>
      <w:r w:rsidRPr="003E7AEB">
        <w:rPr>
          <w:rFonts w:ascii="Times New Roman" w:hAnsi="Times New Roman" w:cs="Times New Roman"/>
        </w:rPr>
        <w:object w:dxaOrig="5420" w:dyaOrig="1891" w14:anchorId="7A3FCAD8">
          <v:shape id="_x0000_i1026" type="#_x0000_t75" style="width:468.95pt;height:123.6pt" o:ole="">
            <v:imagedata r:id="rId13" o:title="" croptop="11984f" cropbottom="-23090f" cropleft="1827f" cropright="-37095f"/>
          </v:shape>
          <o:OLEObject Type="Embed" ProgID="Visio.Drawing.15" ShapeID="_x0000_i1026" DrawAspect="Content" ObjectID="_1595431065" r:id="rId14"/>
        </w:object>
      </w:r>
    </w:p>
    <w:p w14:paraId="078471CA" w14:textId="77777777" w:rsidR="00B23DBD" w:rsidRPr="003E7AEB" w:rsidRDefault="00B23DBD" w:rsidP="0084356E">
      <w:pPr>
        <w:pStyle w:val="Caption"/>
        <w:rPr>
          <w:rFonts w:ascii="Times New Roman" w:eastAsia="Times New Roman" w:hAnsi="Times New Roman" w:cs="Times New Roman"/>
          <w:lang w:eastAsia="x-none"/>
        </w:rPr>
      </w:pPr>
      <w:bookmarkStart w:id="1" w:name="_Ref510604102"/>
      <w:r w:rsidRPr="003E7AEB">
        <w:rPr>
          <w:rFonts w:ascii="Times New Roman" w:hAnsi="Times New Roman" w:cs="Times New Roman"/>
        </w:rPr>
        <w:t xml:space="preserve">Figure </w:t>
      </w:r>
      <w:r w:rsidR="000868EC" w:rsidRPr="003E7AEB">
        <w:rPr>
          <w:rFonts w:ascii="Times New Roman" w:hAnsi="Times New Roman" w:cs="Times New Roman"/>
        </w:rPr>
        <w:fldChar w:fldCharType="begin"/>
      </w:r>
      <w:r w:rsidR="000868EC" w:rsidRPr="003E7AEB">
        <w:rPr>
          <w:rFonts w:ascii="Times New Roman" w:hAnsi="Times New Roman" w:cs="Times New Roman"/>
        </w:rPr>
        <w:instrText xml:space="preserve"> SEQ Figure \* ARABIC </w:instrText>
      </w:r>
      <w:r w:rsidR="000868EC" w:rsidRPr="003E7AEB">
        <w:rPr>
          <w:rFonts w:ascii="Times New Roman" w:hAnsi="Times New Roman" w:cs="Times New Roman"/>
        </w:rPr>
        <w:fldChar w:fldCharType="separate"/>
      </w:r>
      <w:r w:rsidRPr="003E7AEB">
        <w:rPr>
          <w:rFonts w:ascii="Times New Roman" w:hAnsi="Times New Roman" w:cs="Times New Roman"/>
          <w:noProof/>
        </w:rPr>
        <w:t>2</w:t>
      </w:r>
      <w:r w:rsidR="000868EC" w:rsidRPr="003E7AEB">
        <w:rPr>
          <w:rFonts w:ascii="Times New Roman" w:hAnsi="Times New Roman" w:cs="Times New Roman"/>
          <w:noProof/>
        </w:rPr>
        <w:fldChar w:fldCharType="end"/>
      </w:r>
      <w:bookmarkEnd w:id="1"/>
      <w:r w:rsidRPr="003E7AEB">
        <w:rPr>
          <w:rFonts w:ascii="Times New Roman" w:hAnsi="Times New Roman" w:cs="Times New Roman"/>
        </w:rPr>
        <w:t>: An example of NR-U frame structure with the UE wake-up signal.</w:t>
      </w:r>
    </w:p>
    <w:p w14:paraId="588214E7" w14:textId="77777777" w:rsidR="00B23DBD" w:rsidRPr="003E7AEB" w:rsidRDefault="00B23DBD" w:rsidP="006232BE">
      <w:pPr>
        <w:spacing w:after="0"/>
        <w:ind w:left="1440"/>
        <w:jc w:val="both"/>
        <w:rPr>
          <w:rFonts w:ascii="Times New Roman" w:eastAsia="Times New Roman" w:hAnsi="Times New Roman" w:cs="Times New Roman"/>
          <w:lang w:eastAsia="x-none"/>
        </w:rPr>
      </w:pPr>
    </w:p>
    <w:p w14:paraId="1168C5F3" w14:textId="25FBACBD" w:rsidR="00B23DBD" w:rsidRPr="003E7AEB" w:rsidRDefault="00B23DBD" w:rsidP="006232BE">
      <w:pPr>
        <w:jc w:val="both"/>
        <w:rPr>
          <w:rFonts w:ascii="Times New Roman" w:hAnsi="Times New Roman" w:cs="Times New Roman"/>
          <w:lang w:eastAsia="sv-SE"/>
        </w:rPr>
      </w:pPr>
      <w:r w:rsidRPr="003E7AEB">
        <w:rPr>
          <w:rFonts w:ascii="Times New Roman" w:hAnsi="Times New Roman" w:cs="Times New Roman"/>
          <w:b/>
          <w:i/>
          <w:u w:val="single"/>
          <w:lang w:eastAsia="sv-SE"/>
        </w:rPr>
        <w:t>Proposal 1:</w:t>
      </w:r>
      <w:r w:rsidRPr="003E7AEB">
        <w:rPr>
          <w:rFonts w:ascii="Times New Roman" w:hAnsi="Times New Roman" w:cs="Times New Roman"/>
          <w:b/>
          <w:i/>
          <w:lang w:eastAsia="sv-SE"/>
        </w:rPr>
        <w:t xml:space="preserve"> </w:t>
      </w:r>
      <w:r w:rsidR="000A2B68" w:rsidRPr="003E7AEB">
        <w:rPr>
          <w:rFonts w:ascii="Times New Roman" w:hAnsi="Times New Roman" w:cs="Times New Roman"/>
          <w:i/>
          <w:lang w:eastAsia="sv-SE"/>
        </w:rPr>
        <w:t>NR</w:t>
      </w:r>
      <w:r w:rsidRPr="003E7AEB">
        <w:rPr>
          <w:rFonts w:ascii="Times New Roman" w:hAnsi="Times New Roman" w:cs="Times New Roman"/>
          <w:i/>
          <w:lang w:eastAsia="sv-SE"/>
        </w:rPr>
        <w:t xml:space="preserve"> should consider an efficient resource scheduling mechanism with flexible frame structure taking into account the LBT procedure.</w:t>
      </w:r>
    </w:p>
    <w:p w14:paraId="7B7EC18F" w14:textId="2FCF56C9" w:rsidR="00B23DBD" w:rsidRPr="003E7AEB" w:rsidRDefault="00B23DBD" w:rsidP="006232BE">
      <w:pPr>
        <w:jc w:val="both"/>
        <w:rPr>
          <w:rFonts w:ascii="Times New Roman" w:hAnsi="Times New Roman" w:cs="Times New Roman"/>
          <w:i/>
          <w:lang w:eastAsia="sv-SE"/>
        </w:rPr>
      </w:pPr>
      <w:r w:rsidRPr="003E7AEB">
        <w:rPr>
          <w:rFonts w:ascii="Times New Roman" w:hAnsi="Times New Roman" w:cs="Times New Roman"/>
          <w:b/>
          <w:i/>
          <w:u w:val="single"/>
          <w:lang w:eastAsia="sv-SE"/>
        </w:rPr>
        <w:t>Proposal 2:</w:t>
      </w:r>
      <w:r w:rsidRPr="003E7AEB">
        <w:rPr>
          <w:rFonts w:ascii="Times New Roman" w:hAnsi="Times New Roman" w:cs="Times New Roman"/>
          <w:b/>
          <w:i/>
          <w:lang w:eastAsia="sv-SE"/>
        </w:rPr>
        <w:t xml:space="preserve"> </w:t>
      </w:r>
      <w:r w:rsidR="000A2B68" w:rsidRPr="003E7AEB">
        <w:rPr>
          <w:rFonts w:ascii="Times New Roman" w:hAnsi="Times New Roman" w:cs="Times New Roman"/>
          <w:i/>
          <w:lang w:eastAsia="sv-SE"/>
        </w:rPr>
        <w:t>NR</w:t>
      </w:r>
      <w:r w:rsidRPr="003E7AEB">
        <w:rPr>
          <w:rFonts w:ascii="Times New Roman" w:hAnsi="Times New Roman" w:cs="Times New Roman"/>
          <w:i/>
          <w:lang w:eastAsia="sv-SE"/>
        </w:rPr>
        <w:t xml:space="preserve"> should consider introducing the network-assisted wake-up signal to minimize the UE power consumption.</w:t>
      </w:r>
    </w:p>
    <w:p w14:paraId="0F69DDC4" w14:textId="77777777" w:rsidR="008716B3" w:rsidRPr="003E7AEB" w:rsidRDefault="008716B3" w:rsidP="008716B3">
      <w:pPr>
        <w:pStyle w:val="Heading1"/>
        <w:pBdr>
          <w:top w:val="single" w:sz="12" w:space="5" w:color="auto"/>
        </w:pBdr>
        <w:spacing w:after="120"/>
        <w:jc w:val="both"/>
        <w:rPr>
          <w:rFonts w:ascii="Times New Roman" w:hAnsi="Times New Roman"/>
          <w:b/>
          <w:sz w:val="32"/>
          <w:szCs w:val="32"/>
          <w:lang w:val="en-US"/>
        </w:rPr>
      </w:pPr>
      <w:r w:rsidRPr="003E7AEB">
        <w:rPr>
          <w:rFonts w:ascii="Times New Roman" w:hAnsi="Times New Roman"/>
          <w:b/>
          <w:sz w:val="32"/>
          <w:szCs w:val="32"/>
        </w:rPr>
        <w:t>gNB/UE medium sharing</w:t>
      </w:r>
    </w:p>
    <w:p w14:paraId="6B6D5F33" w14:textId="3DA9D362"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In an unlicensed band, NR-U and inter-RAT devices have to share the spectrum in a fair way. While LBT procedure attempts to ensure a fair sharing of the spectrum among multiple RATs, it is an overhead. More fragmented transmissions may require more frequent LBT procedures and thus reduce the spectral efficiency for the entire network. Therefore, aggregated transmissions which may require limited or no LBT in between are more preferred than small fragmented transmissions. For a single user, multiple transmissions may be aggregated together. For a DL (or UL) transmission burst, transmissions to (or from) multiple users better to be aggregated together. Moreover, multiple DL and UL transmissions can be aggregated to achieve higher spectral efficiency in a shared COT. To ensure fairness among multiple RATs, the duration for the aggregated transmission should be restricted to regulatory limits.  </w:t>
      </w:r>
    </w:p>
    <w:p w14:paraId="5DEA0DCE" w14:textId="77777777"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In FeLAA, if an eNB acquires the channel using the largest priority class value, then the eNB may allow autonomous UL (AUL) transmission within the eNB shared COT. Meanwhile, a COT acquired by a UE using Cat4 LBT for AUL may be shared with the eNB. Multiple DL/UL switches are not allowed in FeLAA. </w:t>
      </w:r>
    </w:p>
    <w:p w14:paraId="77206F6D" w14:textId="2111C11F"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In NR, we should consider reusing the concept of shared COT. The shared COT may be acquired by gNB using Cat4 LBT. Within the shared COT, an LBT procedure should be exercised for sake of a better coexistence with possible inter- or intra-RAT devices at the surrounding of the responding UE. In cases where a UE can start transmission within a short interval, the listen interval may be short, e.g. 25µs, as in Cat2 LBT. This issue is further discussed in a companion contribution [3].   </w:t>
      </w:r>
    </w:p>
    <w:p w14:paraId="6E96C83D" w14:textId="46CCD0A2" w:rsidR="00A27E6E" w:rsidRPr="003E7AEB" w:rsidRDefault="001324A4" w:rsidP="008716B3">
      <w:pPr>
        <w:jc w:val="both"/>
        <w:rPr>
          <w:rFonts w:ascii="Times New Roman" w:hAnsi="Times New Roman" w:cs="Times New Roman"/>
        </w:rPr>
      </w:pPr>
      <w:r w:rsidRPr="003E7AEB">
        <w:rPr>
          <w:rFonts w:ascii="Times New Roman" w:hAnsi="Times New Roman" w:cs="Times New Roman"/>
        </w:rPr>
        <w:t>T</w:t>
      </w:r>
      <w:r w:rsidR="00A27E6E" w:rsidRPr="003E7AEB">
        <w:rPr>
          <w:rFonts w:ascii="Times New Roman" w:hAnsi="Times New Roman" w:cs="Times New Roman"/>
        </w:rPr>
        <w:t xml:space="preserve">he support of multiple DL/UL switches within a COT seems possible </w:t>
      </w:r>
      <w:r w:rsidR="00D820E2" w:rsidRPr="003E7AEB">
        <w:rPr>
          <w:rFonts w:ascii="Times New Roman" w:hAnsi="Times New Roman" w:cs="Times New Roman"/>
        </w:rPr>
        <w:t xml:space="preserve">considering </w:t>
      </w:r>
      <w:r w:rsidR="00A27E6E" w:rsidRPr="003E7AEB">
        <w:rPr>
          <w:rFonts w:ascii="Times New Roman" w:hAnsi="Times New Roman" w:cs="Times New Roman"/>
        </w:rPr>
        <w:t>the flexibility that NR offers</w:t>
      </w:r>
      <w:r w:rsidR="002041DD" w:rsidRPr="003E7AEB">
        <w:rPr>
          <w:rFonts w:ascii="Times New Roman" w:hAnsi="Times New Roman" w:cs="Times New Roman"/>
        </w:rPr>
        <w:t>, although the LBT implications needs to be addressed carefully</w:t>
      </w:r>
      <w:r w:rsidR="00A27E6E" w:rsidRPr="003E7AEB">
        <w:rPr>
          <w:rFonts w:ascii="Times New Roman" w:hAnsi="Times New Roman" w:cs="Times New Roman"/>
        </w:rPr>
        <w:t xml:space="preserve">. </w:t>
      </w:r>
      <w:r w:rsidR="00D820E2" w:rsidRPr="003E7AEB">
        <w:rPr>
          <w:rFonts w:ascii="Times New Roman" w:hAnsi="Times New Roman" w:cs="Times New Roman"/>
        </w:rPr>
        <w:t xml:space="preserve">For instance, there could </w:t>
      </w:r>
      <w:r w:rsidR="00135A52">
        <w:rPr>
          <w:rFonts w:ascii="Times New Roman" w:hAnsi="Times New Roman" w:cs="Times New Roman"/>
        </w:rPr>
        <w:t xml:space="preserve">be </w:t>
      </w:r>
      <w:r w:rsidR="00D820E2" w:rsidRPr="003E7AEB">
        <w:rPr>
          <w:rFonts w:ascii="Times New Roman" w:hAnsi="Times New Roman" w:cs="Times New Roman"/>
        </w:rPr>
        <w:t xml:space="preserve">one DL/UL switch within a slot and the indication for such </w:t>
      </w:r>
      <w:r w:rsidR="00B1781D" w:rsidRPr="003E7AEB">
        <w:rPr>
          <w:rFonts w:ascii="Times New Roman" w:hAnsi="Times New Roman" w:cs="Times New Roman"/>
        </w:rPr>
        <w:t>switches</w:t>
      </w:r>
      <w:r w:rsidR="00D820E2" w:rsidRPr="003E7AEB">
        <w:rPr>
          <w:rFonts w:ascii="Times New Roman" w:hAnsi="Times New Roman" w:cs="Times New Roman"/>
        </w:rPr>
        <w:t xml:space="preserve"> is carried in slot format indicator (SFI). </w:t>
      </w:r>
      <w:r w:rsidR="00B1781D" w:rsidRPr="003E7AEB">
        <w:rPr>
          <w:rFonts w:ascii="Times New Roman" w:hAnsi="Times New Roman" w:cs="Times New Roman"/>
        </w:rPr>
        <w:t>Likewise,</w:t>
      </w:r>
      <w:r w:rsidR="00D820E2" w:rsidRPr="003E7AEB">
        <w:rPr>
          <w:rFonts w:ascii="Times New Roman" w:hAnsi="Times New Roman" w:cs="Times New Roman"/>
        </w:rPr>
        <w:t xml:space="preserve"> within a COT, </w:t>
      </w:r>
      <w:r w:rsidR="00A27E6E" w:rsidRPr="003E7AEB">
        <w:rPr>
          <w:rFonts w:ascii="Times New Roman" w:hAnsi="Times New Roman" w:cs="Times New Roman"/>
        </w:rPr>
        <w:t xml:space="preserve">a gNB may </w:t>
      </w:r>
      <w:r w:rsidR="00D820E2" w:rsidRPr="003E7AEB">
        <w:rPr>
          <w:rFonts w:ascii="Times New Roman" w:hAnsi="Times New Roman" w:cs="Times New Roman"/>
        </w:rPr>
        <w:t xml:space="preserve">have one or multiple DL/UL switches. The </w:t>
      </w:r>
      <w:r w:rsidR="00A27E6E" w:rsidRPr="003E7AEB">
        <w:rPr>
          <w:rFonts w:ascii="Times New Roman" w:hAnsi="Times New Roman" w:cs="Times New Roman"/>
        </w:rPr>
        <w:t>DL/UL switch</w:t>
      </w:r>
      <w:r w:rsidR="002041DD" w:rsidRPr="003E7AEB">
        <w:rPr>
          <w:rFonts w:ascii="Times New Roman" w:hAnsi="Times New Roman" w:cs="Times New Roman"/>
        </w:rPr>
        <w:t>(</w:t>
      </w:r>
      <w:r w:rsidR="00D820E2" w:rsidRPr="003E7AEB">
        <w:rPr>
          <w:rFonts w:ascii="Times New Roman" w:hAnsi="Times New Roman" w:cs="Times New Roman"/>
        </w:rPr>
        <w:t>s</w:t>
      </w:r>
      <w:r w:rsidR="002041DD" w:rsidRPr="003E7AEB">
        <w:rPr>
          <w:rFonts w:ascii="Times New Roman" w:hAnsi="Times New Roman" w:cs="Times New Roman"/>
        </w:rPr>
        <w:t>)</w:t>
      </w:r>
      <w:r w:rsidR="00D820E2" w:rsidRPr="003E7AEB">
        <w:rPr>
          <w:rFonts w:ascii="Times New Roman" w:hAnsi="Times New Roman" w:cs="Times New Roman"/>
        </w:rPr>
        <w:t xml:space="preserve"> could be addressed to </w:t>
      </w:r>
      <w:r w:rsidR="00A27E6E" w:rsidRPr="003E7AEB">
        <w:rPr>
          <w:rFonts w:ascii="Times New Roman" w:hAnsi="Times New Roman" w:cs="Times New Roman"/>
        </w:rPr>
        <w:t xml:space="preserve">one </w:t>
      </w:r>
      <w:r w:rsidR="00D820E2" w:rsidRPr="003E7AEB">
        <w:rPr>
          <w:rFonts w:ascii="Times New Roman" w:hAnsi="Times New Roman" w:cs="Times New Roman"/>
        </w:rPr>
        <w:t xml:space="preserve">or multiple </w:t>
      </w:r>
      <w:r w:rsidR="00A27E6E" w:rsidRPr="003E7AEB">
        <w:rPr>
          <w:rFonts w:ascii="Times New Roman" w:hAnsi="Times New Roman" w:cs="Times New Roman"/>
        </w:rPr>
        <w:t>UE</w:t>
      </w:r>
      <w:r w:rsidR="00D820E2" w:rsidRPr="003E7AEB">
        <w:rPr>
          <w:rFonts w:ascii="Times New Roman" w:hAnsi="Times New Roman" w:cs="Times New Roman"/>
        </w:rPr>
        <w:t>s</w:t>
      </w:r>
      <w:r w:rsidR="00A27E6E" w:rsidRPr="003E7AEB">
        <w:rPr>
          <w:rFonts w:ascii="Times New Roman" w:hAnsi="Times New Roman" w:cs="Times New Roman"/>
        </w:rPr>
        <w:t>. However, it would be more efficient if the gNB</w:t>
      </w:r>
      <w:r w:rsidR="00D820E2" w:rsidRPr="003E7AEB">
        <w:rPr>
          <w:rFonts w:ascii="Times New Roman" w:hAnsi="Times New Roman" w:cs="Times New Roman"/>
        </w:rPr>
        <w:t xml:space="preserve"> notifies the UEs</w:t>
      </w:r>
      <w:r w:rsidR="00A27E6E" w:rsidRPr="003E7AEB">
        <w:rPr>
          <w:rFonts w:ascii="Times New Roman" w:hAnsi="Times New Roman" w:cs="Times New Roman"/>
        </w:rPr>
        <w:t xml:space="preserve"> preferably at the beginning of the COT</w:t>
      </w:r>
      <w:r w:rsidR="00D820E2" w:rsidRPr="003E7AEB">
        <w:rPr>
          <w:rFonts w:ascii="Times New Roman" w:hAnsi="Times New Roman" w:cs="Times New Roman"/>
        </w:rPr>
        <w:t xml:space="preserve">. This helps </w:t>
      </w:r>
      <w:r w:rsidR="00A27E6E" w:rsidRPr="003E7AEB">
        <w:rPr>
          <w:rFonts w:ascii="Times New Roman" w:hAnsi="Times New Roman" w:cs="Times New Roman"/>
        </w:rPr>
        <w:t xml:space="preserve">the UE(s) </w:t>
      </w:r>
      <w:r w:rsidR="00D820E2" w:rsidRPr="003E7AEB">
        <w:rPr>
          <w:rFonts w:ascii="Times New Roman" w:hAnsi="Times New Roman" w:cs="Times New Roman"/>
        </w:rPr>
        <w:t xml:space="preserve">to </w:t>
      </w:r>
      <w:r w:rsidR="00A27E6E" w:rsidRPr="003E7AEB">
        <w:rPr>
          <w:rFonts w:ascii="Times New Roman" w:hAnsi="Times New Roman" w:cs="Times New Roman"/>
        </w:rPr>
        <w:t>prepare for performing LBT ahead of time</w:t>
      </w:r>
      <w:r w:rsidR="00D820E2" w:rsidRPr="003E7AEB">
        <w:rPr>
          <w:rFonts w:ascii="Times New Roman" w:hAnsi="Times New Roman" w:cs="Times New Roman"/>
        </w:rPr>
        <w:t xml:space="preserve"> as well as any potential preparation for transmission </w:t>
      </w:r>
      <w:r w:rsidR="002041DD" w:rsidRPr="003E7AEB">
        <w:rPr>
          <w:rFonts w:ascii="Times New Roman" w:hAnsi="Times New Roman" w:cs="Times New Roman"/>
        </w:rPr>
        <w:t>in a PUCCH or PUSCH resource</w:t>
      </w:r>
      <w:r w:rsidR="00A27E6E" w:rsidRPr="003E7AEB">
        <w:rPr>
          <w:rFonts w:ascii="Times New Roman" w:hAnsi="Times New Roman" w:cs="Times New Roman"/>
        </w:rPr>
        <w:t xml:space="preserve">. Such indications can be carried in a new DCI format named COT format indicator (CFI). </w:t>
      </w:r>
      <w:r w:rsidR="002E720C" w:rsidRPr="003E7AEB">
        <w:rPr>
          <w:rFonts w:ascii="Times New Roman" w:hAnsi="Times New Roman" w:cs="Times New Roman"/>
        </w:rPr>
        <w:t>The CFI may be carried in a PDCCH in the first mini-slot or slot after a successful LBT, or it may be transmitted in subsequent slots with the same or updated content</w:t>
      </w:r>
      <w:r w:rsidR="00111A99">
        <w:rPr>
          <w:rFonts w:ascii="Times New Roman" w:hAnsi="Times New Roman" w:cs="Times New Roman"/>
        </w:rPr>
        <w:t xml:space="preserve"> (as in PDCCH locations shown in Figure 2)</w:t>
      </w:r>
      <w:r w:rsidR="002E720C" w:rsidRPr="003E7AEB">
        <w:rPr>
          <w:rFonts w:ascii="Times New Roman" w:hAnsi="Times New Roman" w:cs="Times New Roman"/>
        </w:rPr>
        <w:t xml:space="preserve">. </w:t>
      </w:r>
      <w:r w:rsidR="00A27E6E" w:rsidRPr="003E7AEB">
        <w:rPr>
          <w:rFonts w:ascii="Times New Roman" w:hAnsi="Times New Roman" w:cs="Times New Roman"/>
        </w:rPr>
        <w:t xml:space="preserve">We propose to study </w:t>
      </w:r>
      <w:r w:rsidR="00A27E6E" w:rsidRPr="003E7AEB">
        <w:rPr>
          <w:rFonts w:ascii="Times New Roman" w:hAnsi="Times New Roman" w:cs="Times New Roman"/>
          <w:lang w:eastAsia="sv-SE"/>
        </w:rPr>
        <w:t xml:space="preserve">the possibility of transmission of a </w:t>
      </w:r>
      <w:r w:rsidR="00A27E6E" w:rsidRPr="003E7AEB">
        <w:rPr>
          <w:rFonts w:ascii="Times New Roman" w:hAnsi="Times New Roman" w:cs="Times New Roman"/>
        </w:rPr>
        <w:t xml:space="preserve">CFI at the beginning of a COT.     </w:t>
      </w:r>
    </w:p>
    <w:p w14:paraId="0183EAE9" w14:textId="7B452F3B" w:rsidR="00A27E6E" w:rsidRPr="003E7AEB" w:rsidRDefault="00A27E6E" w:rsidP="008716B3">
      <w:pPr>
        <w:jc w:val="both"/>
        <w:rPr>
          <w:rFonts w:ascii="Times New Roman" w:hAnsi="Times New Roman" w:cs="Times New Roman"/>
          <w:i/>
        </w:rPr>
      </w:pPr>
      <w:r w:rsidRPr="003E7AEB">
        <w:rPr>
          <w:rFonts w:ascii="Times New Roman" w:hAnsi="Times New Roman" w:cs="Times New Roman"/>
          <w:b/>
          <w:i/>
          <w:u w:val="single"/>
          <w:lang w:eastAsia="sv-SE"/>
        </w:rPr>
        <w:t xml:space="preserve">Proposal </w:t>
      </w:r>
      <w:r w:rsidR="00135A52">
        <w:rPr>
          <w:rFonts w:ascii="Times New Roman" w:hAnsi="Times New Roman" w:cs="Times New Roman"/>
          <w:b/>
          <w:i/>
          <w:u w:val="single"/>
          <w:lang w:eastAsia="sv-SE"/>
        </w:rPr>
        <w:t>3</w:t>
      </w:r>
      <w:r w:rsidRPr="003E7AEB">
        <w:rPr>
          <w:rFonts w:ascii="Times New Roman" w:hAnsi="Times New Roman" w:cs="Times New Roman"/>
          <w:b/>
          <w:i/>
          <w:u w:val="single"/>
          <w:lang w:eastAsia="sv-SE"/>
        </w:rPr>
        <w:t>:</w:t>
      </w:r>
      <w:r w:rsidRPr="003E7AEB">
        <w:rPr>
          <w:rFonts w:ascii="Times New Roman" w:hAnsi="Times New Roman" w:cs="Times New Roman"/>
          <w:i/>
          <w:lang w:eastAsia="sv-SE"/>
        </w:rPr>
        <w:t xml:space="preserve"> NR should study the possibility of transmission of a </w:t>
      </w:r>
      <w:r w:rsidRPr="003E7AEB">
        <w:rPr>
          <w:rFonts w:ascii="Times New Roman" w:hAnsi="Times New Roman" w:cs="Times New Roman"/>
          <w:i/>
        </w:rPr>
        <w:t>COT format indicator (CFI) at the beginning of a COT.</w:t>
      </w:r>
    </w:p>
    <w:p w14:paraId="46A20080" w14:textId="33E17CA7" w:rsidR="00020F4F" w:rsidRPr="003E7AEB" w:rsidRDefault="00020F4F" w:rsidP="008716B3">
      <w:pPr>
        <w:jc w:val="both"/>
        <w:rPr>
          <w:rFonts w:ascii="Times New Roman" w:hAnsi="Times New Roman" w:cs="Times New Roman"/>
          <w:lang w:eastAsia="sv-SE"/>
        </w:rPr>
      </w:pPr>
      <w:r w:rsidRPr="003E7AEB">
        <w:rPr>
          <w:rFonts w:ascii="Times New Roman" w:hAnsi="Times New Roman" w:cs="Times New Roman"/>
        </w:rPr>
        <w:t xml:space="preserve">The details of channel access when a responding UE transmits in a COT that is initiated by a gNB is discussed in a companion contribution [3]. </w:t>
      </w:r>
    </w:p>
    <w:p w14:paraId="1503D288" w14:textId="366894A1" w:rsidR="00ED07CA" w:rsidRPr="003E7AEB" w:rsidRDefault="00ED07CA" w:rsidP="006232BE">
      <w:pPr>
        <w:pStyle w:val="Heading1"/>
        <w:pBdr>
          <w:top w:val="single" w:sz="12" w:space="5" w:color="auto"/>
        </w:pBdr>
        <w:spacing w:after="120"/>
        <w:jc w:val="both"/>
        <w:rPr>
          <w:rFonts w:ascii="Times New Roman" w:hAnsi="Times New Roman"/>
          <w:b/>
          <w:sz w:val="32"/>
          <w:szCs w:val="32"/>
          <w:lang w:val="en-US"/>
        </w:rPr>
      </w:pPr>
      <w:r w:rsidRPr="003E7AEB">
        <w:rPr>
          <w:rFonts w:ascii="Times New Roman" w:hAnsi="Times New Roman"/>
          <w:b/>
          <w:sz w:val="32"/>
          <w:szCs w:val="32"/>
          <w:lang w:val="en-US"/>
        </w:rPr>
        <w:t>Subcarrier spacing for NR-U</w:t>
      </w:r>
    </w:p>
    <w:p w14:paraId="48E22286" w14:textId="4FD43D45" w:rsidR="00876D61" w:rsidRPr="003E7AEB" w:rsidRDefault="003721E1" w:rsidP="003721E1">
      <w:pPr>
        <w:jc w:val="both"/>
        <w:rPr>
          <w:rFonts w:ascii="Times New Roman" w:hAnsi="Times New Roman" w:cs="Times New Roman"/>
          <w:lang w:val="en-GB"/>
        </w:rPr>
      </w:pPr>
      <w:r w:rsidRPr="003E7AEB">
        <w:rPr>
          <w:rFonts w:ascii="Times New Roman" w:hAnsi="Times New Roman" w:cs="Times New Roman"/>
          <w:lang w:val="en-GB"/>
        </w:rPr>
        <w:t xml:space="preserve">NR </w:t>
      </w:r>
      <w:r w:rsidR="00876D61" w:rsidRPr="003E7AEB">
        <w:rPr>
          <w:rFonts w:ascii="Times New Roman" w:hAnsi="Times New Roman" w:cs="Times New Roman"/>
          <w:lang w:val="en-GB"/>
        </w:rPr>
        <w:t>subcarrier spacing</w:t>
      </w:r>
      <w:r w:rsidRPr="003E7AEB">
        <w:rPr>
          <w:rFonts w:ascii="Times New Roman" w:hAnsi="Times New Roman" w:cs="Times New Roman"/>
          <w:lang w:val="en-GB"/>
        </w:rPr>
        <w:t xml:space="preserve"> for</w:t>
      </w:r>
      <w:r w:rsidR="00876D61" w:rsidRPr="003E7AEB">
        <w:rPr>
          <w:rFonts w:ascii="Times New Roman" w:hAnsi="Times New Roman" w:cs="Times New Roman"/>
          <w:lang w:val="en-GB"/>
        </w:rPr>
        <w:t xml:space="preserve"> </w:t>
      </w:r>
      <w:r w:rsidRPr="003E7AEB">
        <w:rPr>
          <w:rFonts w:ascii="Times New Roman" w:hAnsi="Times New Roman" w:cs="Times New Roman"/>
          <w:lang w:val="en-GB"/>
        </w:rPr>
        <w:t xml:space="preserve">sub-7GHz </w:t>
      </w:r>
      <w:r w:rsidR="004E3302" w:rsidRPr="003E7AEB">
        <w:rPr>
          <w:rFonts w:ascii="Times New Roman" w:hAnsi="Times New Roman" w:cs="Times New Roman"/>
          <w:lang w:val="en-GB"/>
        </w:rPr>
        <w:t xml:space="preserve">spectrum </w:t>
      </w:r>
      <w:r w:rsidRPr="003E7AEB">
        <w:rPr>
          <w:rFonts w:ascii="Times New Roman" w:hAnsi="Times New Roman" w:cs="Times New Roman"/>
          <w:lang w:val="en-GB"/>
        </w:rPr>
        <w:t>are 15, 30</w:t>
      </w:r>
      <w:r w:rsidR="004E3302" w:rsidRPr="003E7AEB">
        <w:rPr>
          <w:rFonts w:ascii="Times New Roman" w:hAnsi="Times New Roman" w:cs="Times New Roman"/>
          <w:lang w:val="en-GB"/>
        </w:rPr>
        <w:t xml:space="preserve"> and</w:t>
      </w:r>
      <w:r w:rsidRPr="003E7AEB">
        <w:rPr>
          <w:rFonts w:ascii="Times New Roman" w:hAnsi="Times New Roman" w:cs="Times New Roman"/>
          <w:lang w:val="en-GB"/>
        </w:rPr>
        <w:t xml:space="preserve"> 60 kHz</w:t>
      </w:r>
      <w:r w:rsidR="00B1781D" w:rsidRPr="003E7AEB">
        <w:rPr>
          <w:rFonts w:ascii="Times New Roman" w:hAnsi="Times New Roman" w:cs="Times New Roman"/>
          <w:lang w:val="en-GB"/>
        </w:rPr>
        <w:t xml:space="preserve"> with </w:t>
      </w:r>
      <w:r w:rsidRPr="003E7AEB">
        <w:rPr>
          <w:rFonts w:ascii="Times New Roman" w:hAnsi="Times New Roman" w:cs="Times New Roman"/>
          <w:lang w:val="en-GB"/>
        </w:rPr>
        <w:t>OFDM symbol duration of 66.67, 33.33, and 16.67 µs</w:t>
      </w:r>
      <w:r w:rsidR="004827AF" w:rsidRPr="003E7AEB">
        <w:rPr>
          <w:rFonts w:ascii="Times New Roman" w:hAnsi="Times New Roman" w:cs="Times New Roman"/>
          <w:lang w:val="en-GB"/>
        </w:rPr>
        <w:t xml:space="preserve"> </w:t>
      </w:r>
      <w:r w:rsidR="00723E85">
        <w:rPr>
          <w:rFonts w:ascii="Times New Roman" w:hAnsi="Times New Roman" w:cs="Times New Roman"/>
          <w:lang w:val="en-GB"/>
        </w:rPr>
        <w:t xml:space="preserve">(or 71.36, 35.67, </w:t>
      </w:r>
      <w:r w:rsidR="005A184B">
        <w:rPr>
          <w:rFonts w:ascii="Times New Roman" w:hAnsi="Times New Roman" w:cs="Times New Roman"/>
          <w:lang w:val="en-GB"/>
        </w:rPr>
        <w:t>and</w:t>
      </w:r>
      <w:r w:rsidR="00723E85">
        <w:rPr>
          <w:rFonts w:ascii="Times New Roman" w:hAnsi="Times New Roman" w:cs="Times New Roman"/>
          <w:lang w:val="en-GB"/>
        </w:rPr>
        <w:t xml:space="preserve"> 17.84 </w:t>
      </w:r>
      <w:r w:rsidR="00723E85" w:rsidRPr="003E7AEB">
        <w:rPr>
          <w:rFonts w:ascii="Times New Roman" w:hAnsi="Times New Roman" w:cs="Times New Roman"/>
          <w:lang w:val="en-GB"/>
        </w:rPr>
        <w:t xml:space="preserve">µs </w:t>
      </w:r>
      <w:r w:rsidR="00723E85">
        <w:rPr>
          <w:rFonts w:ascii="Times New Roman" w:hAnsi="Times New Roman" w:cs="Times New Roman"/>
          <w:lang w:val="en-GB"/>
        </w:rPr>
        <w:t xml:space="preserve">including CP) </w:t>
      </w:r>
      <w:r w:rsidR="004827AF" w:rsidRPr="003E7AEB">
        <w:rPr>
          <w:rFonts w:ascii="Times New Roman" w:hAnsi="Times New Roman" w:cs="Times New Roman"/>
          <w:lang w:val="en-GB"/>
        </w:rPr>
        <w:t>respectively</w:t>
      </w:r>
      <w:r w:rsidRPr="003E7AEB">
        <w:rPr>
          <w:rFonts w:ascii="Times New Roman" w:hAnsi="Times New Roman" w:cs="Times New Roman"/>
          <w:lang w:val="en-GB"/>
        </w:rPr>
        <w:t>. With the longer symbol duration there would be more chance of having a gap between the time that a gNB successfully completes an LBT procedure and the beginning of the upcoming OFDM symbol</w:t>
      </w:r>
      <w:r w:rsidR="0079238C" w:rsidRPr="003E7AEB">
        <w:rPr>
          <w:rFonts w:ascii="Times New Roman" w:hAnsi="Times New Roman" w:cs="Times New Roman"/>
          <w:lang w:val="en-GB"/>
        </w:rPr>
        <w:t>. This gap</w:t>
      </w:r>
      <w:r w:rsidRPr="003E7AEB">
        <w:rPr>
          <w:rFonts w:ascii="Times New Roman" w:hAnsi="Times New Roman" w:cs="Times New Roman"/>
          <w:lang w:val="en-GB"/>
        </w:rPr>
        <w:t xml:space="preserve"> </w:t>
      </w:r>
      <w:r w:rsidR="0079238C" w:rsidRPr="003E7AEB">
        <w:rPr>
          <w:rFonts w:ascii="Times New Roman" w:hAnsi="Times New Roman" w:cs="Times New Roman"/>
          <w:lang w:val="en-GB"/>
        </w:rPr>
        <w:t xml:space="preserve">could </w:t>
      </w:r>
      <w:r w:rsidRPr="003E7AEB">
        <w:rPr>
          <w:rFonts w:ascii="Times New Roman" w:hAnsi="Times New Roman" w:cs="Times New Roman"/>
          <w:lang w:val="en-GB"/>
        </w:rPr>
        <w:t xml:space="preserve">be wasted by the gNB </w:t>
      </w:r>
      <w:r w:rsidR="0079238C" w:rsidRPr="003E7AEB">
        <w:rPr>
          <w:rFonts w:ascii="Times New Roman" w:hAnsi="Times New Roman" w:cs="Times New Roman"/>
          <w:lang w:val="en-GB"/>
        </w:rPr>
        <w:t xml:space="preserve">either by </w:t>
      </w:r>
      <w:r w:rsidRPr="003E7AEB">
        <w:rPr>
          <w:rFonts w:ascii="Times New Roman" w:hAnsi="Times New Roman" w:cs="Times New Roman"/>
          <w:lang w:val="en-GB"/>
        </w:rPr>
        <w:t xml:space="preserve">transmitting nothing or transmitting a reservation signal. From this perspective, the larger subcarrier spacing </w:t>
      </w:r>
      <w:r w:rsidR="00B1781D" w:rsidRPr="003E7AEB">
        <w:rPr>
          <w:rFonts w:ascii="Times New Roman" w:hAnsi="Times New Roman" w:cs="Times New Roman"/>
          <w:lang w:val="en-GB"/>
        </w:rPr>
        <w:t xml:space="preserve">(with shorter symbol duration) </w:t>
      </w:r>
      <w:r w:rsidRPr="003E7AEB">
        <w:rPr>
          <w:rFonts w:ascii="Times New Roman" w:hAnsi="Times New Roman" w:cs="Times New Roman"/>
          <w:lang w:val="en-GB"/>
        </w:rPr>
        <w:t xml:space="preserve">is more </w:t>
      </w:r>
      <w:r w:rsidR="00B1781D" w:rsidRPr="003E7AEB">
        <w:rPr>
          <w:rFonts w:ascii="Times New Roman" w:hAnsi="Times New Roman" w:cs="Times New Roman"/>
          <w:lang w:val="en-GB"/>
        </w:rPr>
        <w:t>advantageous</w:t>
      </w:r>
      <w:r w:rsidRPr="003E7AEB">
        <w:rPr>
          <w:rFonts w:ascii="Times New Roman" w:hAnsi="Times New Roman" w:cs="Times New Roman"/>
          <w:lang w:val="en-GB"/>
        </w:rPr>
        <w:t xml:space="preserve">.    </w:t>
      </w:r>
    </w:p>
    <w:p w14:paraId="481E57BB" w14:textId="731975C8" w:rsidR="004827AF" w:rsidRPr="003E7AEB" w:rsidRDefault="003721E1" w:rsidP="004827AF">
      <w:pPr>
        <w:jc w:val="both"/>
        <w:rPr>
          <w:rFonts w:ascii="Times New Roman" w:hAnsi="Times New Roman" w:cs="Times New Roman"/>
          <w:lang w:val="en-GB"/>
        </w:rPr>
      </w:pPr>
      <w:r w:rsidRPr="003E7AEB">
        <w:rPr>
          <w:rFonts w:ascii="Times New Roman" w:hAnsi="Times New Roman" w:cs="Times New Roman"/>
          <w:lang w:val="en-GB"/>
        </w:rPr>
        <w:t xml:space="preserve">On the other hand, the </w:t>
      </w:r>
      <w:r w:rsidR="004827AF" w:rsidRPr="003E7AEB">
        <w:rPr>
          <w:rFonts w:ascii="Times New Roman" w:hAnsi="Times New Roman" w:cs="Times New Roman"/>
          <w:lang w:val="en-GB"/>
        </w:rPr>
        <w:t>maximum number of RBs for subcarrier spacing 15, 30, and 60 kHz (for 20MHz bandwidth) are 106, 51 and 24 respectively [</w:t>
      </w:r>
      <w:r w:rsidR="00814921" w:rsidRPr="003E7AEB">
        <w:rPr>
          <w:rFonts w:ascii="Times New Roman" w:hAnsi="Times New Roman" w:cs="Times New Roman"/>
          <w:lang w:val="en-GB"/>
        </w:rPr>
        <w:t>2</w:t>
      </w:r>
      <w:r w:rsidR="004827AF" w:rsidRPr="003E7AEB">
        <w:rPr>
          <w:rFonts w:ascii="Times New Roman" w:hAnsi="Times New Roman" w:cs="Times New Roman"/>
          <w:lang w:val="en-GB"/>
        </w:rPr>
        <w:t>]. This leads to an 3.7</w:t>
      </w:r>
      <w:r w:rsidR="0079238C" w:rsidRPr="003E7AEB">
        <w:rPr>
          <w:rFonts w:ascii="Times New Roman" w:hAnsi="Times New Roman" w:cs="Times New Roman"/>
          <w:lang w:val="en-GB"/>
        </w:rPr>
        <w:t>%</w:t>
      </w:r>
      <w:r w:rsidR="004827AF" w:rsidRPr="003E7AEB">
        <w:rPr>
          <w:rFonts w:ascii="Times New Roman" w:hAnsi="Times New Roman" w:cs="Times New Roman"/>
          <w:lang w:val="en-GB"/>
        </w:rPr>
        <w:t xml:space="preserve"> </w:t>
      </w:r>
      <w:r w:rsidR="003E7AEB" w:rsidRPr="003E7AEB">
        <w:rPr>
          <w:rFonts w:ascii="Times New Roman" w:hAnsi="Times New Roman" w:cs="Times New Roman"/>
          <w:lang w:val="en-GB"/>
        </w:rPr>
        <w:t xml:space="preserve">and 9.4% overhead </w:t>
      </w:r>
      <w:r w:rsidR="004827AF" w:rsidRPr="003E7AEB">
        <w:rPr>
          <w:rFonts w:ascii="Times New Roman" w:hAnsi="Times New Roman" w:cs="Times New Roman"/>
          <w:lang w:val="en-GB"/>
        </w:rPr>
        <w:t xml:space="preserve">for SCS=30kHz </w:t>
      </w:r>
      <w:r w:rsidR="003E7AEB" w:rsidRPr="003E7AEB">
        <w:rPr>
          <w:rFonts w:ascii="Times New Roman" w:hAnsi="Times New Roman" w:cs="Times New Roman"/>
          <w:lang w:val="en-GB"/>
        </w:rPr>
        <w:t xml:space="preserve">and </w:t>
      </w:r>
      <w:r w:rsidR="004827AF" w:rsidRPr="003E7AEB">
        <w:rPr>
          <w:rFonts w:ascii="Times New Roman" w:hAnsi="Times New Roman" w:cs="Times New Roman"/>
          <w:lang w:val="en-GB"/>
        </w:rPr>
        <w:t xml:space="preserve">SCS=60kHz </w:t>
      </w:r>
      <w:r w:rsidR="003E7AEB" w:rsidRPr="003E7AEB">
        <w:rPr>
          <w:rFonts w:ascii="Times New Roman" w:hAnsi="Times New Roman" w:cs="Times New Roman"/>
          <w:lang w:val="en-GB"/>
        </w:rPr>
        <w:t>respectively compared to</w:t>
      </w:r>
      <w:r w:rsidR="004827AF" w:rsidRPr="003E7AEB">
        <w:rPr>
          <w:rFonts w:ascii="Times New Roman" w:hAnsi="Times New Roman" w:cs="Times New Roman"/>
          <w:lang w:val="en-GB"/>
        </w:rPr>
        <w:t xml:space="preserve"> SCS=15kHz. This basically may wipe out the </w:t>
      </w:r>
      <w:r w:rsidR="0079238C" w:rsidRPr="003E7AEB">
        <w:rPr>
          <w:rFonts w:ascii="Times New Roman" w:hAnsi="Times New Roman" w:cs="Times New Roman"/>
          <w:lang w:val="en-GB"/>
        </w:rPr>
        <w:t xml:space="preserve">above-stated </w:t>
      </w:r>
      <w:r w:rsidR="004827AF" w:rsidRPr="003E7AEB">
        <w:rPr>
          <w:rFonts w:ascii="Times New Roman" w:hAnsi="Times New Roman" w:cs="Times New Roman"/>
          <w:lang w:val="en-GB"/>
        </w:rPr>
        <w:t>advantage of larger subcarrier spacing compared to SCS=15kHz. Moreover, depending on type of deployment, there is a chance that for SCS=60kHz the extended cyclic prefix may be used, further adding to the overhead of SCS=60kHz.</w:t>
      </w:r>
    </w:p>
    <w:p w14:paraId="377B3EC0" w14:textId="77777777" w:rsidR="00723E85" w:rsidRDefault="004827AF" w:rsidP="004827AF">
      <w:pPr>
        <w:jc w:val="both"/>
        <w:rPr>
          <w:rFonts w:ascii="Times New Roman" w:hAnsi="Times New Roman" w:cs="Times New Roman"/>
          <w:lang w:val="en-GB"/>
        </w:rPr>
      </w:pPr>
      <w:r w:rsidRPr="003E7AEB">
        <w:rPr>
          <w:rFonts w:ascii="Times New Roman" w:hAnsi="Times New Roman" w:cs="Times New Roman"/>
          <w:lang w:val="en-GB"/>
        </w:rPr>
        <w:t>The above</w:t>
      </w:r>
      <w:r w:rsidR="0079238C" w:rsidRPr="003E7AEB">
        <w:rPr>
          <w:rFonts w:ascii="Times New Roman" w:hAnsi="Times New Roman" w:cs="Times New Roman"/>
          <w:lang w:val="en-GB"/>
        </w:rPr>
        <w:t xml:space="preserve"> </w:t>
      </w:r>
      <w:r w:rsidRPr="003E7AEB">
        <w:rPr>
          <w:rFonts w:ascii="Times New Roman" w:hAnsi="Times New Roman" w:cs="Times New Roman"/>
          <w:lang w:val="en-GB"/>
        </w:rPr>
        <w:t xml:space="preserve">disadvantage of longer OFDM symbol duration </w:t>
      </w:r>
      <w:r w:rsidR="0079238C" w:rsidRPr="003E7AEB">
        <w:rPr>
          <w:rFonts w:ascii="Times New Roman" w:hAnsi="Times New Roman" w:cs="Times New Roman"/>
          <w:lang w:val="en-GB"/>
        </w:rPr>
        <w:t xml:space="preserve">of SCS=15Hz </w:t>
      </w:r>
      <w:r w:rsidR="00B1781D" w:rsidRPr="003E7AEB">
        <w:rPr>
          <w:rFonts w:ascii="Times New Roman" w:hAnsi="Times New Roman" w:cs="Times New Roman"/>
          <w:lang w:val="en-GB"/>
        </w:rPr>
        <w:t>may be</w:t>
      </w:r>
      <w:r w:rsidRPr="003E7AEB">
        <w:rPr>
          <w:rFonts w:ascii="Times New Roman" w:hAnsi="Times New Roman" w:cs="Times New Roman"/>
          <w:lang w:val="en-GB"/>
        </w:rPr>
        <w:t xml:space="preserve"> avoided if the listen interval of an LBT procedure is adjusted to be aligned with the </w:t>
      </w:r>
      <w:r w:rsidR="0079238C" w:rsidRPr="003E7AEB">
        <w:rPr>
          <w:rFonts w:ascii="Times New Roman" w:hAnsi="Times New Roman" w:cs="Times New Roman"/>
          <w:lang w:val="en-GB"/>
        </w:rPr>
        <w:t xml:space="preserve">next/previous </w:t>
      </w:r>
      <w:r w:rsidRPr="003E7AEB">
        <w:rPr>
          <w:rFonts w:ascii="Times New Roman" w:hAnsi="Times New Roman" w:cs="Times New Roman"/>
          <w:lang w:val="en-GB"/>
        </w:rPr>
        <w:t>OFDM symbol</w:t>
      </w:r>
      <w:r w:rsidR="0079238C" w:rsidRPr="003E7AEB">
        <w:rPr>
          <w:rFonts w:ascii="Times New Roman" w:hAnsi="Times New Roman" w:cs="Times New Roman"/>
          <w:lang w:val="en-GB"/>
        </w:rPr>
        <w:t>, avoiding a partial OFDM symbol after the LBT listen interval</w:t>
      </w:r>
      <w:r w:rsidRPr="003E7AEB">
        <w:rPr>
          <w:rFonts w:ascii="Times New Roman" w:hAnsi="Times New Roman" w:cs="Times New Roman"/>
          <w:lang w:val="en-GB"/>
        </w:rPr>
        <w:t>. This adjustment of listen interval has to be performed so that fairness is not harmed. Further details of such</w:t>
      </w:r>
      <w:r w:rsidR="0079238C" w:rsidRPr="003E7AEB">
        <w:rPr>
          <w:rFonts w:ascii="Times New Roman" w:hAnsi="Times New Roman" w:cs="Times New Roman"/>
          <w:lang w:val="en-GB"/>
        </w:rPr>
        <w:t xml:space="preserve"> </w:t>
      </w:r>
      <w:r w:rsidRPr="003E7AEB">
        <w:rPr>
          <w:rFonts w:ascii="Times New Roman" w:hAnsi="Times New Roman" w:cs="Times New Roman"/>
          <w:lang w:val="en-GB"/>
        </w:rPr>
        <w:t xml:space="preserve">listen interval alteration is discussed in </w:t>
      </w:r>
      <w:r w:rsidR="00217C06" w:rsidRPr="003E7AEB">
        <w:rPr>
          <w:rFonts w:ascii="Times New Roman" w:hAnsi="Times New Roman" w:cs="Times New Roman"/>
        </w:rPr>
        <w:t>a companion contribution [3]</w:t>
      </w:r>
      <w:r w:rsidRPr="003E7AEB">
        <w:rPr>
          <w:rFonts w:ascii="Times New Roman" w:hAnsi="Times New Roman" w:cs="Times New Roman"/>
          <w:lang w:val="en-GB"/>
        </w:rPr>
        <w:t xml:space="preserve">.  </w:t>
      </w:r>
    </w:p>
    <w:p w14:paraId="7205D96F" w14:textId="77777777" w:rsidR="000F25E9" w:rsidRDefault="000F25E9" w:rsidP="004827AF">
      <w:pPr>
        <w:jc w:val="both"/>
        <w:rPr>
          <w:rFonts w:ascii="Times New Roman" w:hAnsi="Times New Roman" w:cs="Times New Roman"/>
          <w:lang w:val="en-GB"/>
        </w:rPr>
      </w:pPr>
    </w:p>
    <w:p w14:paraId="65735C7A" w14:textId="17F84312" w:rsidR="000F25E9" w:rsidRPr="003E7AEB" w:rsidRDefault="000F25E9" w:rsidP="000F25E9">
      <w:pPr>
        <w:pStyle w:val="Heading1"/>
        <w:pBdr>
          <w:top w:val="single" w:sz="12" w:space="5" w:color="auto"/>
        </w:pBdr>
        <w:spacing w:after="120"/>
        <w:jc w:val="both"/>
        <w:rPr>
          <w:rFonts w:ascii="Times New Roman" w:hAnsi="Times New Roman"/>
          <w:b/>
          <w:sz w:val="32"/>
          <w:szCs w:val="32"/>
          <w:lang w:val="en-US"/>
        </w:rPr>
      </w:pPr>
      <w:r w:rsidRPr="003E7AEB">
        <w:rPr>
          <w:rFonts w:ascii="Times New Roman" w:hAnsi="Times New Roman"/>
          <w:b/>
          <w:sz w:val="32"/>
          <w:szCs w:val="32"/>
          <w:lang w:val="en-US"/>
        </w:rPr>
        <w:t>S</w:t>
      </w:r>
      <w:r w:rsidR="00FB60C3">
        <w:rPr>
          <w:rFonts w:ascii="Times New Roman" w:hAnsi="Times New Roman"/>
          <w:b/>
          <w:sz w:val="32"/>
          <w:szCs w:val="32"/>
          <w:lang w:val="en-US"/>
        </w:rPr>
        <w:t>ignaling for UE enhanced channel access</w:t>
      </w:r>
    </w:p>
    <w:p w14:paraId="523E2E83" w14:textId="01A67305" w:rsidR="000F25E9" w:rsidRPr="000F25E9" w:rsidRDefault="000F25E9" w:rsidP="001F4A5B">
      <w:pPr>
        <w:jc w:val="both"/>
        <w:rPr>
          <w:rFonts w:ascii="Times New Roman" w:eastAsia="SimSun" w:hAnsi="Times New Roman" w:cs="Times New Roman"/>
        </w:rPr>
      </w:pPr>
      <w:r w:rsidRPr="000F25E9">
        <w:rPr>
          <w:rFonts w:ascii="Times New Roman" w:hAnsi="Times New Roman" w:cs="Times New Roman"/>
        </w:rPr>
        <w:t xml:space="preserve">In LTE only LAA scenarios were studied. As such, the only UL transmission that was enhanced to operate efficiently in LTE unlicensed was PUSCH. On the other hand, NR-U is intended to enable operation in multiple scenarios, including </w:t>
      </w:r>
      <w:r w:rsidR="00DD51CF">
        <w:rPr>
          <w:rFonts w:ascii="Times New Roman" w:hAnsi="Times New Roman" w:cs="Times New Roman"/>
        </w:rPr>
        <w:t>dual connectivity (</w:t>
      </w:r>
      <w:r w:rsidRPr="000F25E9">
        <w:rPr>
          <w:rFonts w:ascii="Times New Roman" w:hAnsi="Times New Roman" w:cs="Times New Roman"/>
        </w:rPr>
        <w:t>DC</w:t>
      </w:r>
      <w:r w:rsidR="00DD51CF">
        <w:rPr>
          <w:rFonts w:ascii="Times New Roman" w:hAnsi="Times New Roman" w:cs="Times New Roman"/>
        </w:rPr>
        <w:t>)</w:t>
      </w:r>
      <w:r w:rsidRPr="000F25E9">
        <w:rPr>
          <w:rFonts w:ascii="Times New Roman" w:hAnsi="Times New Roman" w:cs="Times New Roman"/>
        </w:rPr>
        <w:t xml:space="preserve"> and </w:t>
      </w:r>
      <w:r w:rsidR="00DD51CF">
        <w:rPr>
          <w:rFonts w:ascii="Times New Roman" w:hAnsi="Times New Roman" w:cs="Times New Roman"/>
        </w:rPr>
        <w:t>standalone (</w:t>
      </w:r>
      <w:r w:rsidRPr="000F25E9">
        <w:rPr>
          <w:rFonts w:ascii="Times New Roman" w:hAnsi="Times New Roman" w:cs="Times New Roman"/>
        </w:rPr>
        <w:t>SA</w:t>
      </w:r>
      <w:r w:rsidR="00DD51CF">
        <w:rPr>
          <w:rFonts w:ascii="Times New Roman" w:hAnsi="Times New Roman" w:cs="Times New Roman"/>
        </w:rPr>
        <w:t>) deployments</w:t>
      </w:r>
      <w:r w:rsidRPr="000F25E9">
        <w:rPr>
          <w:rFonts w:ascii="Times New Roman" w:hAnsi="Times New Roman" w:cs="Times New Roman"/>
        </w:rPr>
        <w:t>. In such scenarios, support for PRACH and PUCCH over unlicensed channel are required.</w:t>
      </w:r>
    </w:p>
    <w:p w14:paraId="368B37B9" w14:textId="77777777" w:rsidR="000F25E9" w:rsidRPr="000F25E9" w:rsidRDefault="000F25E9" w:rsidP="000F25E9">
      <w:pPr>
        <w:spacing w:before="120"/>
        <w:jc w:val="both"/>
        <w:rPr>
          <w:rFonts w:ascii="Times New Roman" w:hAnsi="Times New Roman" w:cs="Times New Roman"/>
        </w:rPr>
      </w:pPr>
      <w:r w:rsidRPr="000F25E9">
        <w:rPr>
          <w:rFonts w:ascii="Times New Roman" w:hAnsi="Times New Roman" w:cs="Times New Roman"/>
        </w:rPr>
        <w:t>In NR-U, a UE should perform LBT in order to access an unlicensed channel for the transmission of PRACH preamble. In highly loaded channels, a UE may fail multiple times at acquiring an unlicensed channel prior to a PRACH resource. To mitigate such access latency, PRACH resources could be increased in time in order to provide UEs with more opportunities. However, this comes at a cost of wasted resources for cases where UEs are not attempting random access.</w:t>
      </w:r>
    </w:p>
    <w:p w14:paraId="15E58FC6" w14:textId="77777777" w:rsidR="000F25E9" w:rsidRPr="000F25E9" w:rsidRDefault="000F25E9" w:rsidP="000F25E9">
      <w:pPr>
        <w:spacing w:before="120"/>
        <w:jc w:val="both"/>
        <w:rPr>
          <w:rFonts w:ascii="Times New Roman" w:hAnsi="Times New Roman" w:cs="Times New Roman"/>
        </w:rPr>
      </w:pPr>
      <w:r w:rsidRPr="000F25E9">
        <w:rPr>
          <w:rFonts w:ascii="Times New Roman" w:hAnsi="Times New Roman" w:cs="Times New Roman"/>
        </w:rPr>
        <w:t>Simply increasing PRACH resources could also lead to clustering of preamble transmissions (if multiple previous resources were unusable due to failed LBT) and an increase in contention. On the other hand, given that UEs are not time aligned prior to transmitting PRACH preamble, it is also possible that a first UE may acquire the unlicensed channel for transmission of PRACH and may thus block other UEs from doing so. Even if interlacing is accepted for PRACH, LBT is expected to be performed over the entire unlicensed channel and blocking would still be a factor. Blocking may resolve the contention issue, but by eliminating UE multiplexing of PRACH preambles, it negates the benefits of increasing the number of PRACH resources.</w:t>
      </w:r>
    </w:p>
    <w:p w14:paraId="22C9510F" w14:textId="77777777" w:rsidR="000F25E9" w:rsidRPr="000F25E9" w:rsidRDefault="000F25E9" w:rsidP="000F25E9">
      <w:pPr>
        <w:spacing w:before="120"/>
        <w:jc w:val="both"/>
        <w:rPr>
          <w:rFonts w:ascii="Times New Roman" w:hAnsi="Times New Roman" w:cs="Times New Roman"/>
        </w:rPr>
      </w:pPr>
      <w:r w:rsidRPr="000F25E9">
        <w:rPr>
          <w:rFonts w:ascii="Times New Roman" w:hAnsi="Times New Roman" w:cs="Times New Roman"/>
        </w:rPr>
        <w:t>Similarly, UEs may need to use PUCCH resources for SR transmissions. Being unable to acquire the unlicensed channel leads to an increase in SR transmission latency. Though UEs are expected to be time aligned when transmitting SR on PUCCH, it is still possible that UEs may block each other and further reduce PUCCH capacity, even for formats that allow UE multiplexing.</w:t>
      </w:r>
    </w:p>
    <w:p w14:paraId="203773C9" w14:textId="77777777" w:rsidR="000F25E9" w:rsidRPr="000F25E9" w:rsidRDefault="000F25E9" w:rsidP="000F25E9">
      <w:pPr>
        <w:spacing w:before="120"/>
        <w:jc w:val="both"/>
        <w:rPr>
          <w:rFonts w:ascii="Times New Roman" w:hAnsi="Times New Roman" w:cs="Times New Roman"/>
        </w:rPr>
      </w:pPr>
      <w:r w:rsidRPr="000F25E9">
        <w:rPr>
          <w:rFonts w:ascii="Times New Roman" w:hAnsi="Times New Roman" w:cs="Times New Roman"/>
        </w:rPr>
        <w:t>It has been agreed that switching between DL and UL within a COT is beneficial. Therefore, the gNB could acquire the unlicensed channel and send a triggering signal to enable dynamic or aperiodic PRACH or PUCCH resources. For example, the network may determine that the unlicensed channel has been busy for a period of time and may determine that PRACH or PUCCH resources were unusable for its UEs. Furthermore, this solution allows the gNB to centralize the main LBT process for multiple UEs and thus reduce the likelihood of its UEs blocking one another.</w:t>
      </w:r>
    </w:p>
    <w:p w14:paraId="0A619680" w14:textId="77777777" w:rsidR="000F25E9" w:rsidRPr="000F25E9" w:rsidRDefault="000F25E9" w:rsidP="000F25E9">
      <w:pPr>
        <w:spacing w:before="120"/>
        <w:jc w:val="both"/>
        <w:rPr>
          <w:rFonts w:ascii="Times New Roman" w:hAnsi="Times New Roman" w:cs="Times New Roman"/>
        </w:rPr>
      </w:pPr>
      <w:r w:rsidRPr="000F25E9">
        <w:rPr>
          <w:rFonts w:ascii="Times New Roman" w:hAnsi="Times New Roman" w:cs="Times New Roman"/>
        </w:rPr>
        <w:t>The trigger signal could enable multiple UEs to access the channel, either with reduced LBT or no LBT at all; thus, ensuring PRACH or PUCCH multiplexing capacity is maintained.</w:t>
      </w:r>
    </w:p>
    <w:p w14:paraId="4D5266D6" w14:textId="47CBC6AE" w:rsidR="00ED07CA" w:rsidRPr="001F4A5B" w:rsidRDefault="000F25E9" w:rsidP="001F4A5B">
      <w:pPr>
        <w:spacing w:before="120"/>
        <w:jc w:val="both"/>
        <w:rPr>
          <w:rFonts w:ascii="Times New Roman" w:hAnsi="Times New Roman" w:cs="Times New Roman"/>
          <w:b/>
          <w:i/>
        </w:rPr>
      </w:pPr>
      <w:r w:rsidRPr="000F25E9">
        <w:rPr>
          <w:rFonts w:ascii="Times New Roman" w:hAnsi="Times New Roman" w:cs="Times New Roman"/>
          <w:b/>
          <w:i/>
          <w:u w:val="single"/>
        </w:rPr>
        <w:t xml:space="preserve">Proposal </w:t>
      </w:r>
      <w:r w:rsidR="00135A52">
        <w:rPr>
          <w:rFonts w:ascii="Times New Roman" w:hAnsi="Times New Roman" w:cs="Times New Roman"/>
          <w:b/>
          <w:i/>
          <w:u w:val="single"/>
        </w:rPr>
        <w:t>4</w:t>
      </w:r>
      <w:r w:rsidRPr="000F25E9">
        <w:rPr>
          <w:rFonts w:ascii="Times New Roman" w:hAnsi="Times New Roman" w:cs="Times New Roman"/>
          <w:b/>
          <w:i/>
          <w:u w:val="single"/>
        </w:rPr>
        <w:t>:</w:t>
      </w:r>
      <w:r w:rsidRPr="000F25E9">
        <w:rPr>
          <w:rFonts w:ascii="Times New Roman" w:hAnsi="Times New Roman" w:cs="Times New Roman"/>
          <w:b/>
          <w:i/>
        </w:rPr>
        <w:t xml:space="preserve"> </w:t>
      </w:r>
      <w:r w:rsidR="006D0841" w:rsidRPr="006D0841">
        <w:rPr>
          <w:rFonts w:ascii="Times New Roman" w:hAnsi="Times New Roman" w:cs="Times New Roman"/>
          <w:i/>
        </w:rPr>
        <w:t xml:space="preserve">NR should consider transmission </w:t>
      </w:r>
      <w:r w:rsidR="008734A8">
        <w:rPr>
          <w:rFonts w:ascii="Times New Roman" w:hAnsi="Times New Roman" w:cs="Times New Roman"/>
          <w:i/>
        </w:rPr>
        <w:t xml:space="preserve">of a trigger </w:t>
      </w:r>
      <w:r w:rsidR="006D0841" w:rsidRPr="006D0841">
        <w:rPr>
          <w:rFonts w:ascii="Times New Roman" w:hAnsi="Times New Roman" w:cs="Times New Roman"/>
          <w:i/>
        </w:rPr>
        <w:t xml:space="preserve">signal </w:t>
      </w:r>
      <w:r w:rsidR="008734A8">
        <w:rPr>
          <w:rFonts w:ascii="Times New Roman" w:hAnsi="Times New Roman" w:cs="Times New Roman"/>
          <w:i/>
        </w:rPr>
        <w:t xml:space="preserve">by a gNB </w:t>
      </w:r>
      <w:r w:rsidR="006D0841" w:rsidRPr="006D0841">
        <w:rPr>
          <w:rFonts w:ascii="Times New Roman" w:hAnsi="Times New Roman" w:cs="Times New Roman"/>
          <w:i/>
        </w:rPr>
        <w:t>where u</w:t>
      </w:r>
      <w:r w:rsidRPr="006D0841">
        <w:rPr>
          <w:rFonts w:ascii="Times New Roman" w:hAnsi="Times New Roman" w:cs="Times New Roman"/>
          <w:i/>
        </w:rPr>
        <w:t xml:space="preserve">pon </w:t>
      </w:r>
      <w:r w:rsidR="006D0841" w:rsidRPr="006D0841">
        <w:rPr>
          <w:rFonts w:ascii="Times New Roman" w:hAnsi="Times New Roman" w:cs="Times New Roman"/>
          <w:i/>
        </w:rPr>
        <w:t xml:space="preserve">its </w:t>
      </w:r>
      <w:r w:rsidRPr="006D0841">
        <w:rPr>
          <w:rFonts w:ascii="Times New Roman" w:hAnsi="Times New Roman" w:cs="Times New Roman"/>
          <w:i/>
        </w:rPr>
        <w:t xml:space="preserve">detection </w:t>
      </w:r>
      <w:r w:rsidR="006D0841" w:rsidRPr="006D0841">
        <w:rPr>
          <w:rFonts w:ascii="Times New Roman" w:hAnsi="Times New Roman" w:cs="Times New Roman"/>
          <w:i/>
        </w:rPr>
        <w:t>by a UE</w:t>
      </w:r>
      <w:r w:rsidRPr="006D0841">
        <w:rPr>
          <w:rFonts w:ascii="Times New Roman" w:hAnsi="Times New Roman" w:cs="Times New Roman"/>
          <w:i/>
        </w:rPr>
        <w:t xml:space="preserve">, </w:t>
      </w:r>
      <w:r w:rsidR="006D0841" w:rsidRPr="006D0841">
        <w:rPr>
          <w:rFonts w:ascii="Times New Roman" w:hAnsi="Times New Roman" w:cs="Times New Roman"/>
          <w:i/>
        </w:rPr>
        <w:t>the</w:t>
      </w:r>
      <w:r w:rsidRPr="006D0841">
        <w:rPr>
          <w:rFonts w:ascii="Times New Roman" w:hAnsi="Times New Roman" w:cs="Times New Roman"/>
          <w:i/>
        </w:rPr>
        <w:t xml:space="preserve"> UE may perform </w:t>
      </w:r>
      <w:r w:rsidRPr="000F25E9">
        <w:rPr>
          <w:rFonts w:ascii="Times New Roman" w:hAnsi="Times New Roman" w:cs="Times New Roman"/>
          <w:i/>
        </w:rPr>
        <w:t>PRACH or PUCCH transmission. FFS the type of LBT required by the UE for triggered PRACH or PUCCH.</w:t>
      </w:r>
      <w:bookmarkStart w:id="2" w:name="_GoBack"/>
      <w:bookmarkEnd w:id="2"/>
      <w:r w:rsidR="004827AF" w:rsidRPr="003E7AEB">
        <w:rPr>
          <w:rFonts w:ascii="Times New Roman" w:hAnsi="Times New Roman" w:cs="Times New Roman"/>
          <w:lang w:val="en-GB"/>
        </w:rPr>
        <w:t xml:space="preserve"> </w:t>
      </w:r>
    </w:p>
    <w:p w14:paraId="596E93DF" w14:textId="4893F5BD" w:rsidR="00821C42" w:rsidRPr="003E7AEB" w:rsidRDefault="00BF17FD" w:rsidP="006232BE">
      <w:pPr>
        <w:pStyle w:val="Heading1"/>
        <w:pBdr>
          <w:top w:val="single" w:sz="12" w:space="5" w:color="auto"/>
        </w:pBdr>
        <w:spacing w:after="120"/>
        <w:jc w:val="both"/>
        <w:rPr>
          <w:rFonts w:ascii="Times New Roman" w:hAnsi="Times New Roman"/>
          <w:b/>
          <w:sz w:val="32"/>
          <w:lang w:val="en-US"/>
        </w:rPr>
      </w:pPr>
      <w:r w:rsidRPr="003E7AEB">
        <w:rPr>
          <w:rFonts w:ascii="Times New Roman" w:hAnsi="Times New Roman"/>
          <w:b/>
          <w:sz w:val="32"/>
          <w:lang w:val="en-US"/>
        </w:rPr>
        <w:t>Summary</w:t>
      </w:r>
    </w:p>
    <w:p w14:paraId="0E6E59C8" w14:textId="1D22ED0B" w:rsidR="00685F6F" w:rsidRPr="003E7AEB" w:rsidRDefault="003242DD" w:rsidP="006232BE">
      <w:pPr>
        <w:jc w:val="both"/>
        <w:rPr>
          <w:rFonts w:ascii="Times New Roman" w:hAnsi="Times New Roman" w:cs="Times New Roman"/>
        </w:rPr>
      </w:pPr>
      <w:r w:rsidRPr="003E7AEB">
        <w:rPr>
          <w:rFonts w:ascii="Times New Roman" w:hAnsi="Times New Roman" w:cs="Times New Roman"/>
        </w:rPr>
        <w:t>This contribution discussed</w:t>
      </w:r>
      <w:r w:rsidR="0080034A" w:rsidRPr="003E7AEB">
        <w:rPr>
          <w:rFonts w:ascii="Times New Roman" w:hAnsi="Times New Roman" w:cs="Times New Roman"/>
        </w:rPr>
        <w:t xml:space="preserve"> some details regarding the NR-Unlicensed frame structure changes due to LBT, possible alteration on an LBT interval, and gNB/UE medium sharing. In the following, above-discussed proposals are listed:  </w:t>
      </w:r>
      <w:r w:rsidR="00220819" w:rsidRPr="003E7AEB">
        <w:rPr>
          <w:rFonts w:ascii="Times New Roman" w:hAnsi="Times New Roman" w:cs="Times New Roman"/>
        </w:rPr>
        <w:t xml:space="preserve"> </w:t>
      </w:r>
    </w:p>
    <w:p w14:paraId="2B0A8663" w14:textId="6F5F4405" w:rsidR="0080034A" w:rsidRPr="003E7AEB" w:rsidRDefault="0080034A" w:rsidP="006232BE">
      <w:pPr>
        <w:jc w:val="both"/>
        <w:rPr>
          <w:rFonts w:ascii="Times New Roman" w:hAnsi="Times New Roman" w:cs="Times New Roman"/>
          <w:lang w:eastAsia="sv-SE"/>
        </w:rPr>
      </w:pPr>
      <w:r w:rsidRPr="003E7AEB">
        <w:rPr>
          <w:rFonts w:ascii="Times New Roman" w:hAnsi="Times New Roman" w:cs="Times New Roman"/>
          <w:b/>
          <w:i/>
          <w:u w:val="single"/>
          <w:lang w:eastAsia="sv-SE"/>
        </w:rPr>
        <w:t>Proposal 1:</w:t>
      </w:r>
      <w:r w:rsidRPr="003E7AEB">
        <w:rPr>
          <w:rFonts w:ascii="Times New Roman" w:hAnsi="Times New Roman" w:cs="Times New Roman"/>
          <w:b/>
          <w:i/>
          <w:lang w:eastAsia="sv-SE"/>
        </w:rPr>
        <w:t xml:space="preserve"> </w:t>
      </w:r>
      <w:r w:rsidRPr="003E7AEB">
        <w:rPr>
          <w:rFonts w:ascii="Times New Roman" w:hAnsi="Times New Roman" w:cs="Times New Roman"/>
          <w:i/>
          <w:lang w:eastAsia="sv-SE"/>
        </w:rPr>
        <w:t>NR should consider an efficient resource scheduling mechanism with flexible frame structure taking into account the LBT procedure.</w:t>
      </w:r>
    </w:p>
    <w:p w14:paraId="4DD25436" w14:textId="60C40529" w:rsidR="0080034A" w:rsidRPr="003E7AEB" w:rsidRDefault="0080034A" w:rsidP="006232BE">
      <w:pPr>
        <w:jc w:val="both"/>
        <w:rPr>
          <w:rFonts w:ascii="Times New Roman" w:hAnsi="Times New Roman" w:cs="Times New Roman"/>
          <w:i/>
          <w:lang w:eastAsia="sv-SE"/>
        </w:rPr>
      </w:pPr>
      <w:r w:rsidRPr="003E7AEB">
        <w:rPr>
          <w:rFonts w:ascii="Times New Roman" w:hAnsi="Times New Roman" w:cs="Times New Roman"/>
          <w:b/>
          <w:i/>
          <w:u w:val="single"/>
          <w:lang w:eastAsia="sv-SE"/>
        </w:rPr>
        <w:t>Proposal 2:</w:t>
      </w:r>
      <w:r w:rsidRPr="003E7AEB">
        <w:rPr>
          <w:rFonts w:ascii="Times New Roman" w:hAnsi="Times New Roman" w:cs="Times New Roman"/>
          <w:b/>
          <w:i/>
          <w:lang w:eastAsia="sv-SE"/>
        </w:rPr>
        <w:t xml:space="preserve"> </w:t>
      </w:r>
      <w:r w:rsidRPr="003E7AEB">
        <w:rPr>
          <w:rFonts w:ascii="Times New Roman" w:hAnsi="Times New Roman" w:cs="Times New Roman"/>
          <w:i/>
          <w:lang w:eastAsia="sv-SE"/>
        </w:rPr>
        <w:t>NR should consider introducing the network-assisted wake-up signal to minimize the UE power consumption.</w:t>
      </w:r>
    </w:p>
    <w:p w14:paraId="5B06CDDC" w14:textId="57104173" w:rsidR="00A27E6E" w:rsidRDefault="00A27E6E" w:rsidP="006232BE">
      <w:pPr>
        <w:jc w:val="both"/>
        <w:rPr>
          <w:rFonts w:ascii="Times New Roman" w:hAnsi="Times New Roman" w:cs="Times New Roman"/>
          <w:i/>
        </w:rPr>
      </w:pPr>
      <w:r w:rsidRPr="003E7AEB">
        <w:rPr>
          <w:rFonts w:ascii="Times New Roman" w:hAnsi="Times New Roman" w:cs="Times New Roman"/>
          <w:b/>
          <w:i/>
          <w:u w:val="single"/>
          <w:lang w:eastAsia="sv-SE"/>
        </w:rPr>
        <w:t xml:space="preserve">Proposal </w:t>
      </w:r>
      <w:r w:rsidR="00135A52">
        <w:rPr>
          <w:rFonts w:ascii="Times New Roman" w:hAnsi="Times New Roman" w:cs="Times New Roman"/>
          <w:b/>
          <w:i/>
          <w:u w:val="single"/>
          <w:lang w:eastAsia="sv-SE"/>
        </w:rPr>
        <w:t>3</w:t>
      </w:r>
      <w:r w:rsidRPr="003E7AEB">
        <w:rPr>
          <w:rFonts w:ascii="Times New Roman" w:hAnsi="Times New Roman" w:cs="Times New Roman"/>
          <w:b/>
          <w:i/>
          <w:u w:val="single"/>
          <w:lang w:eastAsia="sv-SE"/>
        </w:rPr>
        <w:t>:</w:t>
      </w:r>
      <w:r w:rsidRPr="003E7AEB">
        <w:rPr>
          <w:rFonts w:ascii="Times New Roman" w:hAnsi="Times New Roman" w:cs="Times New Roman"/>
          <w:i/>
          <w:lang w:eastAsia="sv-SE"/>
        </w:rPr>
        <w:t xml:space="preserve"> NR should study the possibility of transmission of a </w:t>
      </w:r>
      <w:r w:rsidRPr="003E7AEB">
        <w:rPr>
          <w:rFonts w:ascii="Times New Roman" w:hAnsi="Times New Roman" w:cs="Times New Roman"/>
          <w:i/>
        </w:rPr>
        <w:t>COT format indicator (CFI) at the beginning of a COT.</w:t>
      </w:r>
    </w:p>
    <w:p w14:paraId="787A66B9" w14:textId="48127C02" w:rsidR="006D0841" w:rsidRPr="000F25E9" w:rsidRDefault="006D0841" w:rsidP="006D0841">
      <w:pPr>
        <w:spacing w:before="120"/>
        <w:jc w:val="both"/>
        <w:rPr>
          <w:rFonts w:ascii="Times New Roman" w:hAnsi="Times New Roman" w:cs="Times New Roman"/>
          <w:b/>
          <w:i/>
        </w:rPr>
      </w:pPr>
      <w:r w:rsidRPr="000F25E9">
        <w:rPr>
          <w:rFonts w:ascii="Times New Roman" w:hAnsi="Times New Roman" w:cs="Times New Roman"/>
          <w:b/>
          <w:i/>
          <w:u w:val="single"/>
        </w:rPr>
        <w:t xml:space="preserve">Proposal </w:t>
      </w:r>
      <w:r w:rsidR="00135A52">
        <w:rPr>
          <w:rFonts w:ascii="Times New Roman" w:hAnsi="Times New Roman" w:cs="Times New Roman"/>
          <w:b/>
          <w:i/>
          <w:u w:val="single"/>
        </w:rPr>
        <w:t>4</w:t>
      </w:r>
      <w:r w:rsidRPr="000F25E9">
        <w:rPr>
          <w:rFonts w:ascii="Times New Roman" w:hAnsi="Times New Roman" w:cs="Times New Roman"/>
          <w:b/>
          <w:i/>
          <w:u w:val="single"/>
        </w:rPr>
        <w:t>:</w:t>
      </w:r>
      <w:r w:rsidRPr="000F25E9">
        <w:rPr>
          <w:rFonts w:ascii="Times New Roman" w:hAnsi="Times New Roman" w:cs="Times New Roman"/>
          <w:b/>
          <w:i/>
        </w:rPr>
        <w:t xml:space="preserve"> </w:t>
      </w:r>
      <w:r w:rsidR="008734A8" w:rsidRPr="006D0841">
        <w:rPr>
          <w:rFonts w:ascii="Times New Roman" w:hAnsi="Times New Roman" w:cs="Times New Roman"/>
          <w:i/>
        </w:rPr>
        <w:t xml:space="preserve">NR should consider transmission </w:t>
      </w:r>
      <w:r w:rsidR="008734A8">
        <w:rPr>
          <w:rFonts w:ascii="Times New Roman" w:hAnsi="Times New Roman" w:cs="Times New Roman"/>
          <w:i/>
        </w:rPr>
        <w:t xml:space="preserve">of a trigger </w:t>
      </w:r>
      <w:r w:rsidR="008734A8" w:rsidRPr="006D0841">
        <w:rPr>
          <w:rFonts w:ascii="Times New Roman" w:hAnsi="Times New Roman" w:cs="Times New Roman"/>
          <w:i/>
        </w:rPr>
        <w:t xml:space="preserve">signal </w:t>
      </w:r>
      <w:r w:rsidR="008734A8">
        <w:rPr>
          <w:rFonts w:ascii="Times New Roman" w:hAnsi="Times New Roman" w:cs="Times New Roman"/>
          <w:i/>
        </w:rPr>
        <w:t xml:space="preserve">by a gNB </w:t>
      </w:r>
      <w:r w:rsidR="008734A8" w:rsidRPr="006D0841">
        <w:rPr>
          <w:rFonts w:ascii="Times New Roman" w:hAnsi="Times New Roman" w:cs="Times New Roman"/>
          <w:i/>
        </w:rPr>
        <w:t xml:space="preserve">where upon its detection by a UE, the UE may perform </w:t>
      </w:r>
      <w:r w:rsidR="008734A8" w:rsidRPr="000F25E9">
        <w:rPr>
          <w:rFonts w:ascii="Times New Roman" w:hAnsi="Times New Roman" w:cs="Times New Roman"/>
          <w:i/>
        </w:rPr>
        <w:t>PRACH or PUCCH transmission. FFS the type of LBT required by the UE for triggered PRACH or PUCCH.</w:t>
      </w:r>
    </w:p>
    <w:p w14:paraId="0EF7466D" w14:textId="77777777" w:rsidR="00251B4A" w:rsidRPr="003E7AEB" w:rsidRDefault="00251B4A" w:rsidP="006232BE">
      <w:pPr>
        <w:pStyle w:val="Heading1"/>
        <w:jc w:val="both"/>
        <w:rPr>
          <w:rFonts w:ascii="Times New Roman" w:hAnsi="Times New Roman"/>
          <w:b/>
          <w:sz w:val="32"/>
          <w:lang w:val="en-US"/>
        </w:rPr>
      </w:pPr>
      <w:r w:rsidRPr="003E7AEB">
        <w:rPr>
          <w:rFonts w:ascii="Times New Roman" w:hAnsi="Times New Roman"/>
          <w:b/>
          <w:sz w:val="32"/>
          <w:lang w:val="en-US"/>
        </w:rPr>
        <w:t>References</w:t>
      </w:r>
    </w:p>
    <w:p w14:paraId="5981B74D" w14:textId="77777777" w:rsidR="00277862" w:rsidRPr="00277862" w:rsidRDefault="00277862" w:rsidP="007C5527">
      <w:pPr>
        <w:pStyle w:val="Reference"/>
        <w:numPr>
          <w:ilvl w:val="0"/>
          <w:numId w:val="25"/>
        </w:numPr>
        <w:overflowPunct w:val="0"/>
        <w:autoSpaceDE w:val="0"/>
        <w:autoSpaceDN w:val="0"/>
        <w:adjustRightInd w:val="0"/>
        <w:spacing w:after="120" w:line="240" w:lineRule="auto"/>
        <w:jc w:val="both"/>
        <w:textAlignment w:val="baseline"/>
        <w:rPr>
          <w:rFonts w:ascii="Times New Roman" w:hAnsi="Times New Roman" w:cs="Times New Roman"/>
        </w:rPr>
      </w:pPr>
      <w:bookmarkStart w:id="3" w:name="_Ref513201801"/>
      <w:bookmarkStart w:id="4" w:name="_Ref174151459"/>
      <w:bookmarkStart w:id="5" w:name="_Ref189809556"/>
      <w:r w:rsidRPr="00277862">
        <w:rPr>
          <w:rFonts w:ascii="Times New Roman" w:hAnsi="Times New Roman" w:cs="Times New Roman"/>
        </w:rPr>
        <w:t xml:space="preserve">Chairman’s notes, 3GPP TSG RAN WG1#93, </w:t>
      </w:r>
      <w:bookmarkEnd w:id="3"/>
      <w:bookmarkEnd w:id="4"/>
      <w:bookmarkEnd w:id="5"/>
      <w:r w:rsidRPr="00277862">
        <w:rPr>
          <w:rFonts w:ascii="Times New Roman" w:hAnsi="Times New Roman" w:cs="Times New Roman"/>
        </w:rPr>
        <w:t>Busan, Korea, May 21st – 25th 2018</w:t>
      </w:r>
    </w:p>
    <w:p w14:paraId="4C7B8C70" w14:textId="77777777" w:rsidR="00277862" w:rsidRPr="00277862" w:rsidRDefault="00DB5440" w:rsidP="00277862">
      <w:pPr>
        <w:pStyle w:val="Reference"/>
        <w:numPr>
          <w:ilvl w:val="0"/>
          <w:numId w:val="25"/>
        </w:numPr>
        <w:overflowPunct w:val="0"/>
        <w:autoSpaceDE w:val="0"/>
        <w:autoSpaceDN w:val="0"/>
        <w:adjustRightInd w:val="0"/>
        <w:spacing w:after="120" w:line="240" w:lineRule="auto"/>
        <w:jc w:val="both"/>
        <w:textAlignment w:val="baseline"/>
        <w:rPr>
          <w:rFonts w:ascii="Times New Roman" w:hAnsi="Times New Roman" w:cs="Times New Roman"/>
        </w:rPr>
      </w:pPr>
      <w:r w:rsidRPr="00277862">
        <w:rPr>
          <w:rFonts w:ascii="Times New Roman" w:hAnsi="Times New Roman" w:cs="Times New Roman"/>
        </w:rPr>
        <w:t>3GPP</w:t>
      </w:r>
      <w:r w:rsidR="00651AF8" w:rsidRPr="00277862">
        <w:rPr>
          <w:rFonts w:ascii="Times New Roman" w:hAnsi="Times New Roman" w:cs="Times New Roman"/>
        </w:rPr>
        <w:t xml:space="preserve">, TS 38.101-1, </w:t>
      </w:r>
      <w:r w:rsidRPr="00277862">
        <w:rPr>
          <w:rFonts w:ascii="Times New Roman" w:hAnsi="Times New Roman" w:cs="Times New Roman"/>
        </w:rPr>
        <w:t xml:space="preserve">UE </w:t>
      </w:r>
      <w:r w:rsidR="00651AF8" w:rsidRPr="00277862">
        <w:rPr>
          <w:rFonts w:ascii="Times New Roman" w:hAnsi="Times New Roman" w:cs="Times New Roman"/>
        </w:rPr>
        <w:t>Radio Transmission and Reception</w:t>
      </w:r>
    </w:p>
    <w:p w14:paraId="17D88E81" w14:textId="44105330" w:rsidR="003E7AEB" w:rsidRPr="00277862" w:rsidRDefault="004827AF" w:rsidP="00277862">
      <w:pPr>
        <w:pStyle w:val="Reference"/>
        <w:numPr>
          <w:ilvl w:val="0"/>
          <w:numId w:val="25"/>
        </w:numPr>
        <w:overflowPunct w:val="0"/>
        <w:autoSpaceDE w:val="0"/>
        <w:autoSpaceDN w:val="0"/>
        <w:adjustRightInd w:val="0"/>
        <w:spacing w:after="120" w:line="240" w:lineRule="auto"/>
        <w:jc w:val="both"/>
        <w:textAlignment w:val="baseline"/>
        <w:rPr>
          <w:rFonts w:ascii="Times New Roman" w:hAnsi="Times New Roman" w:cs="Times New Roman"/>
        </w:rPr>
      </w:pPr>
      <w:r w:rsidRPr="00277862">
        <w:rPr>
          <w:rFonts w:ascii="Times New Roman" w:hAnsi="Times New Roman" w:cs="Times New Roman"/>
        </w:rPr>
        <w:t>R1-</w:t>
      </w:r>
      <w:r w:rsidR="00277862" w:rsidRPr="00277862">
        <w:rPr>
          <w:rFonts w:ascii="Times New Roman" w:hAnsi="Times New Roman" w:cs="Times New Roman"/>
        </w:rPr>
        <w:t>1809089</w:t>
      </w:r>
      <w:r w:rsidR="00723E85" w:rsidRPr="00277862">
        <w:rPr>
          <w:rFonts w:ascii="Times New Roman" w:hAnsi="Times New Roman" w:cs="Times New Roman"/>
        </w:rPr>
        <w:t>,</w:t>
      </w:r>
      <w:r w:rsidRPr="00277862">
        <w:rPr>
          <w:rFonts w:ascii="Times New Roman" w:hAnsi="Times New Roman" w:cs="Times New Roman"/>
        </w:rPr>
        <w:t xml:space="preserve"> </w:t>
      </w:r>
      <w:r w:rsidR="00277862" w:rsidRPr="00277862">
        <w:rPr>
          <w:rFonts w:ascii="Times New Roman" w:hAnsi="Times New Roman" w:cs="Times New Roman"/>
        </w:rPr>
        <w:t>Channel access procedure and coexistence in NR-U</w:t>
      </w:r>
      <w:r w:rsidRPr="00277862">
        <w:rPr>
          <w:rFonts w:ascii="Times New Roman" w:hAnsi="Times New Roman" w:cs="Times New Roman"/>
        </w:rPr>
        <w:t>, InterDigital Inc.</w:t>
      </w:r>
    </w:p>
    <w:sectPr w:rsidR="003E7AEB" w:rsidRPr="00277862"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E4A0A" w14:textId="77777777" w:rsidR="00837012" w:rsidRDefault="00837012">
      <w:r>
        <w:separator/>
      </w:r>
    </w:p>
  </w:endnote>
  <w:endnote w:type="continuationSeparator" w:id="0">
    <w:p w14:paraId="10B66BF2" w14:textId="77777777" w:rsidR="00837012" w:rsidRDefault="00837012">
      <w:r>
        <w:continuationSeparator/>
      </w:r>
    </w:p>
  </w:endnote>
  <w:endnote w:type="continuationNotice" w:id="1">
    <w:p w14:paraId="60305E5D" w14:textId="77777777" w:rsidR="00837012" w:rsidRDefault="00837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ADB6A" w14:textId="77777777" w:rsidR="000F1141" w:rsidRDefault="000F1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33F1DEC" w:rsidR="00916FCC" w:rsidRPr="000F1141" w:rsidRDefault="00916FCC" w:rsidP="000F1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AFCF1" w14:textId="77777777" w:rsidR="000F1141" w:rsidRDefault="000F1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B9827" w14:textId="77777777" w:rsidR="00837012" w:rsidRDefault="00837012">
      <w:r>
        <w:separator/>
      </w:r>
    </w:p>
  </w:footnote>
  <w:footnote w:type="continuationSeparator" w:id="0">
    <w:p w14:paraId="7D7729B5" w14:textId="77777777" w:rsidR="00837012" w:rsidRDefault="00837012">
      <w:r>
        <w:continuationSeparator/>
      </w:r>
    </w:p>
  </w:footnote>
  <w:footnote w:type="continuationNotice" w:id="1">
    <w:p w14:paraId="7EA08EDA" w14:textId="77777777" w:rsidR="00837012" w:rsidRDefault="008370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7F7F9" w14:textId="77777777" w:rsidR="000F1141" w:rsidRDefault="000F1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7E1F" w14:textId="77777777" w:rsidR="000F1141" w:rsidRDefault="000F1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D63D12"/>
    <w:multiLevelType w:val="hybridMultilevel"/>
    <w:tmpl w:val="A1A26A4C"/>
    <w:lvl w:ilvl="0" w:tplc="EC04DE1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7"/>
  </w:num>
  <w:num w:numId="6">
    <w:abstractNumId w:val="14"/>
  </w:num>
  <w:num w:numId="7">
    <w:abstractNumId w:val="18"/>
  </w:num>
  <w:num w:numId="8">
    <w:abstractNumId w:val="8"/>
  </w:num>
  <w:num w:numId="9">
    <w:abstractNumId w:val="23"/>
  </w:num>
  <w:num w:numId="10">
    <w:abstractNumId w:val="4"/>
  </w:num>
  <w:num w:numId="11">
    <w:abstractNumId w:val="1"/>
  </w:num>
  <w:num w:numId="12">
    <w:abstractNumId w:val="16"/>
  </w:num>
  <w:num w:numId="13">
    <w:abstractNumId w:val="21"/>
  </w:num>
  <w:num w:numId="14">
    <w:abstractNumId w:val="3"/>
  </w:num>
  <w:num w:numId="15">
    <w:abstractNumId w:val="0"/>
  </w:num>
  <w:num w:numId="16">
    <w:abstractNumId w:val="19"/>
  </w:num>
  <w:num w:numId="17">
    <w:abstractNumId w:val="5"/>
  </w:num>
  <w:num w:numId="18">
    <w:abstractNumId w:val="2"/>
  </w:num>
  <w:num w:numId="19">
    <w:abstractNumId w:val="15"/>
  </w:num>
  <w:num w:numId="20">
    <w:abstractNumId w:val="22"/>
  </w:num>
  <w:num w:numId="21">
    <w:abstractNumId w:val="10"/>
  </w:num>
  <w:num w:numId="22">
    <w:abstractNumId w:val="6"/>
  </w:num>
  <w:num w:numId="23">
    <w:abstractNumId w:val="13"/>
  </w:num>
  <w:num w:numId="24">
    <w:abstractNumId w:val="20"/>
  </w:num>
  <w:num w:numId="2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208E4"/>
    <w:rsid w:val="00020F4F"/>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0E95"/>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8EC"/>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25E9"/>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A99"/>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4A4"/>
    <w:rsid w:val="00132FD0"/>
    <w:rsid w:val="001330B8"/>
    <w:rsid w:val="001344C0"/>
    <w:rsid w:val="001346FA"/>
    <w:rsid w:val="00135169"/>
    <w:rsid w:val="00135218"/>
    <w:rsid w:val="00135252"/>
    <w:rsid w:val="0013526B"/>
    <w:rsid w:val="00135394"/>
    <w:rsid w:val="0013580A"/>
    <w:rsid w:val="001358D4"/>
    <w:rsid w:val="00135999"/>
    <w:rsid w:val="00135A52"/>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F"/>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4A5B"/>
    <w:rsid w:val="001F54C5"/>
    <w:rsid w:val="001F5B50"/>
    <w:rsid w:val="001F61DB"/>
    <w:rsid w:val="001F662C"/>
    <w:rsid w:val="001F7074"/>
    <w:rsid w:val="001F7A85"/>
    <w:rsid w:val="00200490"/>
    <w:rsid w:val="002009A4"/>
    <w:rsid w:val="00201F3A"/>
    <w:rsid w:val="0020327F"/>
    <w:rsid w:val="00203A34"/>
    <w:rsid w:val="00203F96"/>
    <w:rsid w:val="002041BF"/>
    <w:rsid w:val="002041DD"/>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17C06"/>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5224"/>
    <w:rsid w:val="00276081"/>
    <w:rsid w:val="00276B67"/>
    <w:rsid w:val="00277097"/>
    <w:rsid w:val="00277490"/>
    <w:rsid w:val="00277862"/>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20C"/>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E1"/>
    <w:rsid w:val="00372AAF"/>
    <w:rsid w:val="00373969"/>
    <w:rsid w:val="003742AC"/>
    <w:rsid w:val="003744CE"/>
    <w:rsid w:val="00374F8B"/>
    <w:rsid w:val="00375719"/>
    <w:rsid w:val="00375D85"/>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A16"/>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AEB"/>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27AF"/>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302"/>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84B"/>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56F1"/>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BE"/>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1AF8"/>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522"/>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841"/>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E85"/>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45A"/>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38C"/>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6D3F"/>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921"/>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012"/>
    <w:rsid w:val="008376AC"/>
    <w:rsid w:val="0083778B"/>
    <w:rsid w:val="00840F75"/>
    <w:rsid w:val="00841446"/>
    <w:rsid w:val="00841916"/>
    <w:rsid w:val="008427B2"/>
    <w:rsid w:val="00842A83"/>
    <w:rsid w:val="00842B22"/>
    <w:rsid w:val="0084356E"/>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6B3"/>
    <w:rsid w:val="008719A4"/>
    <w:rsid w:val="00871D23"/>
    <w:rsid w:val="00871D26"/>
    <w:rsid w:val="00871FBC"/>
    <w:rsid w:val="00872DD4"/>
    <w:rsid w:val="00872DF0"/>
    <w:rsid w:val="00872E99"/>
    <w:rsid w:val="008734A8"/>
    <w:rsid w:val="008735D7"/>
    <w:rsid w:val="00873921"/>
    <w:rsid w:val="008739E4"/>
    <w:rsid w:val="00874312"/>
    <w:rsid w:val="0087437C"/>
    <w:rsid w:val="008743D3"/>
    <w:rsid w:val="008759A0"/>
    <w:rsid w:val="00875CD7"/>
    <w:rsid w:val="00876329"/>
    <w:rsid w:val="00876B4D"/>
    <w:rsid w:val="00876C18"/>
    <w:rsid w:val="00876D61"/>
    <w:rsid w:val="00877943"/>
    <w:rsid w:val="00877F18"/>
    <w:rsid w:val="00880FCF"/>
    <w:rsid w:val="00881595"/>
    <w:rsid w:val="00881CDD"/>
    <w:rsid w:val="00882349"/>
    <w:rsid w:val="00883005"/>
    <w:rsid w:val="008844C2"/>
    <w:rsid w:val="008846AC"/>
    <w:rsid w:val="008848F9"/>
    <w:rsid w:val="008862CE"/>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8A3"/>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0D1"/>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E6E"/>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7E9"/>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5A82"/>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1D"/>
    <w:rsid w:val="00B17846"/>
    <w:rsid w:val="00B17D61"/>
    <w:rsid w:val="00B200EB"/>
    <w:rsid w:val="00B20256"/>
    <w:rsid w:val="00B206FF"/>
    <w:rsid w:val="00B20D09"/>
    <w:rsid w:val="00B20DD9"/>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6C"/>
    <w:rsid w:val="00C755E3"/>
    <w:rsid w:val="00C75D2F"/>
    <w:rsid w:val="00C76D90"/>
    <w:rsid w:val="00C76E3C"/>
    <w:rsid w:val="00C7702F"/>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4F75"/>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17"/>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0E2"/>
    <w:rsid w:val="00D823C6"/>
    <w:rsid w:val="00D83480"/>
    <w:rsid w:val="00D83497"/>
    <w:rsid w:val="00D84E2F"/>
    <w:rsid w:val="00D853A5"/>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4F51"/>
    <w:rsid w:val="00DB50C5"/>
    <w:rsid w:val="00DB5440"/>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1CF"/>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3016"/>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C13"/>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65B"/>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7CA"/>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0C3"/>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F4A5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F4A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4A5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Lista1,列出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C50BA6"/>
    <w:rPr>
      <w:rFonts w:ascii="Calibri" w:eastAsia="Calibri" w:hAnsi="Calibri"/>
      <w:sz w:val="22"/>
      <w:szCs w:val="22"/>
      <w:lang w:val="en-US"/>
    </w:rPr>
  </w:style>
  <w:style w:type="character" w:customStyle="1" w:styleId="bulletChar">
    <w:name w:val="bullet Char"/>
    <w:basedOn w:val="DefaultParagraphFont"/>
    <w:link w:val="bullet"/>
    <w:locked/>
    <w:rsid w:val="000F25E9"/>
  </w:style>
  <w:style w:type="paragraph" w:customStyle="1" w:styleId="bullet">
    <w:name w:val="bullet"/>
    <w:basedOn w:val="Normal"/>
    <w:link w:val="bulletChar"/>
    <w:rsid w:val="000F25E9"/>
    <w:pPr>
      <w:numPr>
        <w:numId w:val="22"/>
      </w:numPr>
      <w:spacing w:after="60" w:line="240" w:lineRule="auto"/>
      <w:contextualSpacing/>
      <w:jc w:val="both"/>
    </w:pPr>
    <w:rPr>
      <w:rFonts w:ascii="CG Times (WN)" w:eastAsia="SimSun" w:hAnsi="CG Times (WN)" w:cs="Times New Roman"/>
      <w:sz w:val="20"/>
      <w:szCs w:val="20"/>
      <w:lang w:val="en-CA"/>
    </w:rPr>
  </w:style>
  <w:style w:type="character" w:customStyle="1" w:styleId="ReferenceChar">
    <w:name w:val="Reference Char"/>
    <w:link w:val="Reference"/>
    <w:locked/>
    <w:rsid w:val="00277862"/>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189057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897610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02354020">
      <w:bodyDiv w:val="1"/>
      <w:marLeft w:val="0"/>
      <w:marRight w:val="0"/>
      <w:marTop w:val="0"/>
      <w:marBottom w:val="0"/>
      <w:divBdr>
        <w:top w:val="none" w:sz="0" w:space="0" w:color="auto"/>
        <w:left w:val="none" w:sz="0" w:space="0" w:color="auto"/>
        <w:bottom w:val="none" w:sz="0" w:space="0" w:color="auto"/>
        <w:right w:val="none" w:sz="0" w:space="0" w:color="auto"/>
      </w:divBdr>
    </w:div>
    <w:div w:id="129717494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9A963-DA62-4D95-B04C-A5A7302405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40DB80-AB35-45B7-929F-AD7B8DB10CFD}">
  <ds:schemaRefs>
    <ds:schemaRef ds:uri="http://schemas.microsoft.com/sharepoint/v3/contenttype/forms"/>
  </ds:schemaRefs>
</ds:datastoreItem>
</file>

<file path=customXml/itemProps3.xml><?xml version="1.0" encoding="utf-8"?>
<ds:datastoreItem xmlns:ds="http://schemas.openxmlformats.org/officeDocument/2006/customXml" ds:itemID="{DF4E5F4D-242B-4C12-A249-40FB5B673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9952F82-81F5-4A11-839F-EB105672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2047</Words>
  <Characters>11670</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NR-U frame structure </vt:lpstr>
      <vt:lpstr>Under some regulatory domains, it is required by the regulators that when a wire</vt:lpstr>
      <vt:lpstr>gNB/UE medium sharing</vt:lpstr>
      <vt:lpstr>Subcarrier spacing for NR-U</vt:lpstr>
      <vt:lpstr>Signaling for UE enhanced channel access</vt:lpstr>
      <vt:lpstr>Summary</vt:lpstr>
      <vt:lpstr>References</vt:lpstr>
    </vt:vector>
  </TitlesOfParts>
  <Manager/>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2018-05-08T22:19:00Z</dcterms:created>
  <dcterms:modified xsi:type="dcterms:W3CDTF">2018-08-11T01:31:00Z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